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F06FF" w14:textId="51FCD6A0" w:rsidR="00593543" w:rsidRDefault="00125C55" w:rsidP="00FE7A02">
      <w:pPr>
        <w:spacing w:before="100" w:beforeAutospacing="1" w:after="100" w:afterAutospacing="1" w:line="266" w:lineRule="atLeast"/>
        <w:jc w:val="both"/>
        <w:outlineLvl w:val="0"/>
        <w:rPr>
          <w:rFonts w:ascii="Invesco Interstate Bold" w:hAnsi="Invesco Interstate Bold"/>
          <w:b/>
          <w:bCs/>
          <w:sz w:val="28"/>
          <w:szCs w:val="28"/>
        </w:rPr>
      </w:pPr>
      <w:r>
        <w:rPr>
          <w:rFonts w:ascii="Invesco Interstate Bold" w:hAnsi="Invesco Interstate Bold"/>
          <w:b/>
          <w:bCs/>
          <w:sz w:val="28"/>
          <w:szCs w:val="28"/>
        </w:rPr>
        <w:t xml:space="preserve">Volby a snížení sazeb </w:t>
      </w:r>
      <w:proofErr w:type="spellStart"/>
      <w:r>
        <w:rPr>
          <w:rFonts w:ascii="Invesco Interstate Bold" w:hAnsi="Invesco Interstate Bold"/>
          <w:b/>
          <w:bCs/>
          <w:sz w:val="28"/>
          <w:szCs w:val="28"/>
        </w:rPr>
        <w:t>Fedu</w:t>
      </w:r>
      <w:proofErr w:type="spellEnd"/>
      <w:r>
        <w:rPr>
          <w:rFonts w:ascii="Invesco Interstate Bold" w:hAnsi="Invesco Interstate Bold"/>
          <w:b/>
          <w:bCs/>
          <w:sz w:val="28"/>
          <w:szCs w:val="28"/>
        </w:rPr>
        <w:t>: Ideální recept?</w:t>
      </w:r>
    </w:p>
    <w:p w14:paraId="3A6D7D9C" w14:textId="64E56E0E" w:rsidR="000963EA" w:rsidRPr="000963EA" w:rsidRDefault="000963EA" w:rsidP="00FE7A02">
      <w:pPr>
        <w:spacing w:before="100" w:beforeAutospacing="1" w:after="100" w:afterAutospacing="1" w:line="266" w:lineRule="atLeast"/>
        <w:jc w:val="both"/>
        <w:outlineLvl w:val="0"/>
        <w:rPr>
          <w:rFonts w:ascii="Invesco Interstate Light" w:eastAsiaTheme="minorEastAsia" w:hAnsi="Invesco Interstate Light"/>
          <w:i/>
          <w:iCs/>
          <w:sz w:val="22"/>
          <w:szCs w:val="22"/>
        </w:rPr>
      </w:pPr>
      <w:r w:rsidRPr="000963EA">
        <w:rPr>
          <w:rFonts w:ascii="Invesco Interstate Light" w:eastAsiaTheme="minorEastAsia" w:hAnsi="Invesco Interstate Light"/>
          <w:i/>
          <w:iCs/>
          <w:sz w:val="22"/>
          <w:szCs w:val="22"/>
        </w:rPr>
        <w:t xml:space="preserve">Paul Jackson, hlavní globální analytik společnosti </w:t>
      </w:r>
      <w:proofErr w:type="spellStart"/>
      <w:r w:rsidRPr="000963EA">
        <w:rPr>
          <w:rFonts w:ascii="Invesco Interstate Light" w:eastAsiaTheme="minorEastAsia" w:hAnsi="Invesco Interstate Light"/>
          <w:i/>
          <w:iCs/>
          <w:sz w:val="22"/>
          <w:szCs w:val="22"/>
        </w:rPr>
        <w:t>Invesco</w:t>
      </w:r>
      <w:proofErr w:type="spellEnd"/>
    </w:p>
    <w:p w14:paraId="5463E692" w14:textId="6B04FFF3" w:rsidR="00744BC3" w:rsidRPr="00744BC3" w:rsidRDefault="00125C55" w:rsidP="00744BC3">
      <w:pPr>
        <w:spacing w:line="360" w:lineRule="auto"/>
        <w:jc w:val="both"/>
        <w:rPr>
          <w:rFonts w:ascii="Invesco Interstate Bold" w:hAnsi="Invesco Interstate Bold"/>
          <w:b/>
          <w:bCs/>
          <w:sz w:val="24"/>
          <w:szCs w:val="24"/>
        </w:rPr>
      </w:pPr>
      <w:r>
        <w:rPr>
          <w:rFonts w:ascii="Invesco Interstate Bold" w:hAnsi="Invesco Interstate Bold"/>
          <w:b/>
          <w:bCs/>
          <w:sz w:val="24"/>
          <w:szCs w:val="24"/>
        </w:rPr>
        <w:t xml:space="preserve">Jsme svědky rarity: Fed zahajující cyklus uvolňování během dvou předvolebních měsíců. Mohl by to být ideální recept pro riziková aktiva? Po volbách obvykle následuje slušná výkonnost dluhu a akcií, ale v případě uvolňování ze strany </w:t>
      </w:r>
      <w:proofErr w:type="spellStart"/>
      <w:r>
        <w:rPr>
          <w:rFonts w:ascii="Invesco Interstate Bold" w:hAnsi="Invesco Interstate Bold"/>
          <w:b/>
          <w:bCs/>
          <w:sz w:val="24"/>
          <w:szCs w:val="24"/>
        </w:rPr>
        <w:t>Fedu</w:t>
      </w:r>
      <w:proofErr w:type="spellEnd"/>
      <w:r>
        <w:rPr>
          <w:rFonts w:ascii="Invesco Interstate Bold" w:hAnsi="Invesco Interstate Bold"/>
          <w:b/>
          <w:bCs/>
          <w:sz w:val="24"/>
          <w:szCs w:val="24"/>
        </w:rPr>
        <w:t xml:space="preserve"> jsou důkazy smíšené. Pokud by byla vzorem polovina 90. let, očekávání by byla dobrá, ale obávám se pomalého růstu, valuací a politiky. </w:t>
      </w:r>
    </w:p>
    <w:p w14:paraId="1537280A" w14:textId="77777777" w:rsidR="00744BC3" w:rsidRPr="000963EA" w:rsidRDefault="00744BC3" w:rsidP="000C33E2">
      <w:pPr>
        <w:spacing w:line="360" w:lineRule="auto"/>
        <w:jc w:val="both"/>
      </w:pPr>
    </w:p>
    <w:p w14:paraId="56BEB510" w14:textId="77777777" w:rsidR="00E07A5F" w:rsidRPr="00E07A5F" w:rsidRDefault="00E07A5F" w:rsidP="00E07A5F">
      <w:pPr>
        <w:spacing w:line="360" w:lineRule="auto"/>
        <w:jc w:val="both"/>
        <w:rPr>
          <w:rFonts w:ascii="Invesco Interstate Light" w:eastAsiaTheme="minorEastAsia" w:hAnsi="Invesco Interstate Light"/>
          <w:sz w:val="22"/>
          <w:szCs w:val="22"/>
        </w:rPr>
      </w:pPr>
      <w:r w:rsidRPr="00E07A5F">
        <w:rPr>
          <w:rFonts w:ascii="Invesco Interstate Light" w:eastAsiaTheme="minorEastAsia" w:hAnsi="Invesco Interstate Light"/>
          <w:sz w:val="22"/>
          <w:szCs w:val="22"/>
        </w:rPr>
        <w:t xml:space="preserve">V půlce mé pracovní cesty po Asii zůstávají volby v USA tématem, o které je velký zájem.  Po dosavadních setkáních mám dojem, že menší většina investorů si myslí, že příštím prezidentem bude Donald Trump.  Komentáře v médiích ale naznačují, že americké akciové trhy a dolar jsou o tom čím dál víc přesvědčeny.  Co nám tedy říká historie o vlivu voleb na výkonnost amerických aktiv a jak je to v porovnání s tím, co se obvykle děje, když Fed uvolňuje?  </w:t>
      </w:r>
    </w:p>
    <w:p w14:paraId="31B77A73" w14:textId="34FC196E" w:rsidR="00E07A5F" w:rsidRDefault="00156F49" w:rsidP="00E07A5F">
      <w:pPr>
        <w:spacing w:line="360" w:lineRule="auto"/>
        <w:jc w:val="both"/>
        <w:rPr>
          <w:rFonts w:ascii="Invesco Interstate Light" w:eastAsiaTheme="minorEastAsia" w:hAnsi="Invesco Interstate Light"/>
          <w:sz w:val="22"/>
          <w:szCs w:val="22"/>
        </w:rPr>
      </w:pPr>
      <w:r>
        <w:br/>
      </w:r>
      <w:r w:rsidR="00E07A5F" w:rsidRPr="00E07A5F">
        <w:rPr>
          <w:rFonts w:ascii="Invesco Interstate Light" w:eastAsiaTheme="minorEastAsia" w:hAnsi="Invesco Interstate Light"/>
          <w:sz w:val="22"/>
          <w:szCs w:val="22"/>
        </w:rPr>
        <w:t xml:space="preserve">Za prvé stojí za povšimnutí, že jsme svědky něčeho, co je za posledních 100 let téměř ojedinělé: cyklus uvolňování </w:t>
      </w:r>
      <w:proofErr w:type="spellStart"/>
      <w:r w:rsidR="00E07A5F" w:rsidRPr="00E07A5F">
        <w:rPr>
          <w:rFonts w:ascii="Invesco Interstate Light" w:eastAsiaTheme="minorEastAsia" w:hAnsi="Invesco Interstate Light"/>
          <w:sz w:val="22"/>
          <w:szCs w:val="22"/>
        </w:rPr>
        <w:t>Fedu</w:t>
      </w:r>
      <w:proofErr w:type="spellEnd"/>
      <w:r w:rsidR="00E07A5F" w:rsidRPr="00E07A5F">
        <w:rPr>
          <w:rFonts w:ascii="Invesco Interstate Light" w:eastAsiaTheme="minorEastAsia" w:hAnsi="Invesco Interstate Light"/>
          <w:sz w:val="22"/>
          <w:szCs w:val="22"/>
        </w:rPr>
        <w:t xml:space="preserve"> začíná během dvou měsíců od prezidentských voleb (které se tradičně konají první listopadové úterý).</w:t>
      </w:r>
    </w:p>
    <w:p w14:paraId="3A2EEB0D" w14:textId="5CBDE74E" w:rsidR="00E07A5F" w:rsidRPr="0042335C" w:rsidRDefault="00E07A5F" w:rsidP="00E07A5F">
      <w:pPr>
        <w:spacing w:before="100" w:beforeAutospacing="1" w:after="100" w:afterAutospacing="1" w:line="276" w:lineRule="auto"/>
        <w:jc w:val="both"/>
        <w:rPr>
          <w:rFonts w:ascii="Invesco Interstate Light" w:eastAsiaTheme="minorEastAsia" w:hAnsi="Invesco Interstate Light"/>
          <w:b/>
          <w:bCs/>
          <w:sz w:val="22"/>
          <w:szCs w:val="22"/>
        </w:rPr>
      </w:pPr>
      <w:r>
        <w:rPr>
          <w:rFonts w:ascii="Invesco Interstate Light" w:eastAsiaTheme="minorEastAsia" w:hAnsi="Invesco Interstate Light"/>
          <w:b/>
          <w:bCs/>
          <w:sz w:val="22"/>
          <w:szCs w:val="22"/>
        </w:rPr>
        <w:t>Graf</w:t>
      </w:r>
      <w:r w:rsidRPr="0042335C">
        <w:rPr>
          <w:rFonts w:ascii="Invesco Interstate Light" w:eastAsiaTheme="minorEastAsia" w:hAnsi="Invesco Interstate Light"/>
          <w:b/>
          <w:bCs/>
          <w:sz w:val="22"/>
          <w:szCs w:val="22"/>
        </w:rPr>
        <w:t xml:space="preserve"> 1</w:t>
      </w:r>
      <w:r>
        <w:rPr>
          <w:rFonts w:ascii="Invesco Interstate Light" w:eastAsiaTheme="minorEastAsia" w:hAnsi="Invesco Interstate Light"/>
          <w:b/>
          <w:bCs/>
          <w:sz w:val="22"/>
          <w:szCs w:val="22"/>
        </w:rPr>
        <w:t>a</w:t>
      </w:r>
      <w:r w:rsidRPr="0042335C">
        <w:rPr>
          <w:rFonts w:ascii="Invesco Interstate Light" w:eastAsiaTheme="minorEastAsia" w:hAnsi="Invesco Interstate Light"/>
          <w:b/>
          <w:bCs/>
          <w:sz w:val="22"/>
          <w:szCs w:val="22"/>
        </w:rPr>
        <w:t xml:space="preserve">: </w:t>
      </w:r>
      <w:r>
        <w:rPr>
          <w:rFonts w:ascii="Invesco Interstate Light" w:eastAsiaTheme="minorEastAsia" w:hAnsi="Invesco Interstate Light"/>
          <w:b/>
          <w:bCs/>
          <w:sz w:val="22"/>
          <w:szCs w:val="22"/>
        </w:rPr>
        <w:t>Výkonnost aktiv v USA p</w:t>
      </w:r>
      <w:r w:rsidR="00230859">
        <w:rPr>
          <w:rFonts w:ascii="Invesco Interstate Light" w:eastAsiaTheme="minorEastAsia" w:hAnsi="Invesco Interstate Light"/>
          <w:b/>
          <w:bCs/>
          <w:sz w:val="22"/>
          <w:szCs w:val="22"/>
        </w:rPr>
        <w:t>o</w:t>
      </w:r>
      <w:r>
        <w:rPr>
          <w:rFonts w:ascii="Invesco Interstate Light" w:eastAsiaTheme="minorEastAsia" w:hAnsi="Invesco Interstate Light"/>
          <w:b/>
          <w:bCs/>
          <w:sz w:val="22"/>
          <w:szCs w:val="22"/>
        </w:rPr>
        <w:t xml:space="preserve"> volbách (%)</w:t>
      </w:r>
    </w:p>
    <w:p w14:paraId="6EF7F996" w14:textId="3200B849" w:rsidR="00E07A5F" w:rsidRDefault="00E07A5F" w:rsidP="00E07A5F">
      <w:pPr>
        <w:spacing w:line="360" w:lineRule="auto"/>
        <w:jc w:val="both"/>
      </w:pPr>
      <w:r w:rsidRPr="00E07A5F">
        <w:rPr>
          <w:noProof/>
        </w:rPr>
        <w:drawing>
          <wp:inline distT="0" distB="0" distL="0" distR="0" wp14:anchorId="60AA9A44" wp14:editId="546C89A5">
            <wp:extent cx="4305300" cy="2978218"/>
            <wp:effectExtent l="0" t="0" r="0" b="0"/>
            <wp:docPr id="196738476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384766" name=""/>
                    <pic:cNvPicPr/>
                  </pic:nvPicPr>
                  <pic:blipFill>
                    <a:blip r:embed="rId11"/>
                    <a:stretch>
                      <a:fillRect/>
                    </a:stretch>
                  </pic:blipFill>
                  <pic:spPr>
                    <a:xfrm>
                      <a:off x="0" y="0"/>
                      <a:ext cx="4314686" cy="2984711"/>
                    </a:xfrm>
                    <a:prstGeom prst="rect">
                      <a:avLst/>
                    </a:prstGeom>
                  </pic:spPr>
                </pic:pic>
              </a:graphicData>
            </a:graphic>
          </wp:inline>
        </w:drawing>
      </w:r>
    </w:p>
    <w:p w14:paraId="513E68B1" w14:textId="2080A9D6" w:rsidR="0042335C" w:rsidRPr="0042335C" w:rsidRDefault="0042335C" w:rsidP="0042335C">
      <w:pPr>
        <w:spacing w:line="360" w:lineRule="auto"/>
        <w:jc w:val="both"/>
      </w:pPr>
    </w:p>
    <w:p w14:paraId="70BB5897" w14:textId="1298B5E9" w:rsidR="00E07A5F" w:rsidRDefault="00E07A5F" w:rsidP="00E07A5F">
      <w:pPr>
        <w:spacing w:line="360" w:lineRule="auto"/>
        <w:jc w:val="both"/>
        <w:rPr>
          <w:rFonts w:ascii="Invesco Interstate Light" w:eastAsiaTheme="minorEastAsia" w:hAnsi="Invesco Interstate Light"/>
          <w:sz w:val="22"/>
          <w:szCs w:val="22"/>
        </w:rPr>
      </w:pPr>
      <w:r w:rsidRPr="00E07A5F">
        <w:rPr>
          <w:rFonts w:ascii="Invesco Interstate Light" w:eastAsiaTheme="minorEastAsia" w:hAnsi="Invesco Interstate Light"/>
          <w:sz w:val="22"/>
          <w:szCs w:val="22"/>
        </w:rPr>
        <w:lastRenderedPageBreak/>
        <w:t>Dalšími příklady byly volby v roce 2000, kdy Fed začal uvolňovat 2. ledna 2001 (což není pro akciové investory dobrý precedens).  V roce 1984, začal Fed uvolňovat 30. srpna (téměř dva měsíce před volbami 6. listopadu), a pokud bychom se koukli úplně do historie, tak v roce 1968 došlo k jednomu snížení sazeb 30. srpna uprostřed cyklu zpřísňování, přičemž toto snížení bylo do konce roku zrušeno. Pokud jde o volby, historie je pro dluhové a akciové investory povzbudivá.  Obrázek 1a ukazuje průměrnou výkonnost amerických aktiv v období kolem prezidentských voleb v USA od roku 1988 (počáteční datum bylo zvoleno proto, že index nástrojů s vysokým výnosem (HY) začal být sledován až v roce 1986).  Ukazuje se, že většina aktiv si v průměru vedla lépe v roce po volbách než v roce před nimi (konce roku jsou definovány k 31. říjnu, aby lépe odpovídaly volebnímu cyklu).</w:t>
      </w:r>
    </w:p>
    <w:p w14:paraId="7453B1ED" w14:textId="4F624D8E" w:rsidR="000C33E2" w:rsidRDefault="00E07A5F" w:rsidP="00E07A5F">
      <w:pPr>
        <w:spacing w:before="100" w:beforeAutospacing="1" w:after="100" w:afterAutospacing="1" w:line="276" w:lineRule="auto"/>
        <w:jc w:val="both"/>
        <w:rPr>
          <w:rFonts w:ascii="Invesco Interstate Light" w:eastAsiaTheme="minorEastAsia" w:hAnsi="Invesco Interstate Light"/>
          <w:b/>
          <w:bCs/>
          <w:sz w:val="22"/>
          <w:szCs w:val="22"/>
        </w:rPr>
      </w:pPr>
      <w:r>
        <w:rPr>
          <w:rFonts w:ascii="Invesco Interstate Light" w:eastAsiaTheme="minorEastAsia" w:hAnsi="Invesco Interstate Light"/>
          <w:b/>
          <w:bCs/>
          <w:sz w:val="22"/>
          <w:szCs w:val="22"/>
        </w:rPr>
        <w:t>Graf</w:t>
      </w:r>
      <w:r w:rsidRPr="0042335C">
        <w:rPr>
          <w:rFonts w:ascii="Invesco Interstate Light" w:eastAsiaTheme="minorEastAsia" w:hAnsi="Invesco Interstate Light"/>
          <w:b/>
          <w:bCs/>
          <w:sz w:val="22"/>
          <w:szCs w:val="22"/>
        </w:rPr>
        <w:t xml:space="preserve"> 1</w:t>
      </w:r>
      <w:r>
        <w:rPr>
          <w:rFonts w:ascii="Invesco Interstate Light" w:eastAsiaTheme="minorEastAsia" w:hAnsi="Invesco Interstate Light"/>
          <w:b/>
          <w:bCs/>
          <w:sz w:val="22"/>
          <w:szCs w:val="22"/>
        </w:rPr>
        <w:t>b</w:t>
      </w:r>
      <w:r w:rsidRPr="0042335C">
        <w:rPr>
          <w:rFonts w:ascii="Invesco Interstate Light" w:eastAsiaTheme="minorEastAsia" w:hAnsi="Invesco Interstate Light"/>
          <w:b/>
          <w:bCs/>
          <w:sz w:val="22"/>
          <w:szCs w:val="22"/>
        </w:rPr>
        <w:t xml:space="preserve">: </w:t>
      </w:r>
      <w:r>
        <w:rPr>
          <w:rFonts w:ascii="Invesco Interstate Light" w:eastAsiaTheme="minorEastAsia" w:hAnsi="Invesco Interstate Light"/>
          <w:b/>
          <w:bCs/>
          <w:sz w:val="22"/>
          <w:szCs w:val="22"/>
        </w:rPr>
        <w:t xml:space="preserve">Výkonnost aktiv v USA a uvolňování </w:t>
      </w:r>
      <w:proofErr w:type="spellStart"/>
      <w:r>
        <w:rPr>
          <w:rFonts w:ascii="Invesco Interstate Light" w:eastAsiaTheme="minorEastAsia" w:hAnsi="Invesco Interstate Light"/>
          <w:b/>
          <w:bCs/>
          <w:sz w:val="22"/>
          <w:szCs w:val="22"/>
        </w:rPr>
        <w:t>Fedu</w:t>
      </w:r>
      <w:proofErr w:type="spellEnd"/>
      <w:r>
        <w:rPr>
          <w:rFonts w:ascii="Invesco Interstate Light" w:eastAsiaTheme="minorEastAsia" w:hAnsi="Invesco Interstate Light"/>
          <w:b/>
          <w:bCs/>
          <w:sz w:val="22"/>
          <w:szCs w:val="22"/>
        </w:rPr>
        <w:t xml:space="preserve"> (%)</w:t>
      </w:r>
    </w:p>
    <w:p w14:paraId="65086FE2" w14:textId="1CFE6E37" w:rsidR="00E07A5F" w:rsidRPr="00E07A5F" w:rsidRDefault="00E07A5F" w:rsidP="00E07A5F">
      <w:pPr>
        <w:spacing w:before="100" w:beforeAutospacing="1" w:after="100" w:afterAutospacing="1" w:line="276" w:lineRule="auto"/>
        <w:jc w:val="both"/>
        <w:rPr>
          <w:rFonts w:ascii="Invesco Interstate Light" w:eastAsiaTheme="minorEastAsia" w:hAnsi="Invesco Interstate Light"/>
          <w:b/>
          <w:bCs/>
          <w:sz w:val="22"/>
          <w:szCs w:val="22"/>
        </w:rPr>
      </w:pPr>
      <w:r w:rsidRPr="00E07A5F">
        <w:rPr>
          <w:rFonts w:ascii="Invesco Interstate Light" w:eastAsiaTheme="minorEastAsia" w:hAnsi="Invesco Interstate Light"/>
          <w:b/>
          <w:bCs/>
          <w:noProof/>
          <w:sz w:val="22"/>
          <w:szCs w:val="22"/>
        </w:rPr>
        <w:drawing>
          <wp:inline distT="0" distB="0" distL="0" distR="0" wp14:anchorId="67D6EC2D" wp14:editId="3B2F5D07">
            <wp:extent cx="5391902" cy="3667637"/>
            <wp:effectExtent l="0" t="0" r="0" b="9525"/>
            <wp:docPr id="164552289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522891" name=""/>
                    <pic:cNvPicPr/>
                  </pic:nvPicPr>
                  <pic:blipFill>
                    <a:blip r:embed="rId12"/>
                    <a:stretch>
                      <a:fillRect/>
                    </a:stretch>
                  </pic:blipFill>
                  <pic:spPr>
                    <a:xfrm>
                      <a:off x="0" y="0"/>
                      <a:ext cx="5391902" cy="3667637"/>
                    </a:xfrm>
                    <a:prstGeom prst="rect">
                      <a:avLst/>
                    </a:prstGeom>
                  </pic:spPr>
                </pic:pic>
              </a:graphicData>
            </a:graphic>
          </wp:inline>
        </w:drawing>
      </w:r>
    </w:p>
    <w:p w14:paraId="38EFA6FC" w14:textId="77777777" w:rsidR="00E07A5F" w:rsidRDefault="00E07A5F" w:rsidP="00E07A5F">
      <w:pPr>
        <w:spacing w:line="360" w:lineRule="auto"/>
        <w:jc w:val="both"/>
        <w:rPr>
          <w:rFonts w:ascii="Invesco Interstate Light" w:eastAsiaTheme="minorEastAsia" w:hAnsi="Invesco Interstate Light"/>
          <w:sz w:val="22"/>
          <w:szCs w:val="22"/>
        </w:rPr>
      </w:pPr>
      <w:r w:rsidRPr="00E07A5F">
        <w:rPr>
          <w:rFonts w:ascii="Invesco Interstate Light" w:eastAsiaTheme="minorEastAsia" w:hAnsi="Invesco Interstate Light"/>
          <w:sz w:val="22"/>
          <w:szCs w:val="22"/>
        </w:rPr>
        <w:t xml:space="preserve">Výkonnost v roce po volbách byla zpravidla lepší než průměr všech let od roku 1988.  Výjimkou se zdají být státní dluhopisy, u nichž je rozdíl mezi předvolební, povolební a průměrnou roční výkonností malý. Pokud se podíváme na cykly uvolňování sazeb </w:t>
      </w:r>
      <w:proofErr w:type="spellStart"/>
      <w:r w:rsidRPr="00E07A5F">
        <w:rPr>
          <w:rFonts w:ascii="Invesco Interstate Light" w:eastAsiaTheme="minorEastAsia" w:hAnsi="Invesco Interstate Light"/>
          <w:sz w:val="22"/>
          <w:szCs w:val="22"/>
        </w:rPr>
        <w:t>Fedu</w:t>
      </w:r>
      <w:proofErr w:type="spellEnd"/>
      <w:r w:rsidRPr="00E07A5F">
        <w:rPr>
          <w:rFonts w:ascii="Invesco Interstate Light" w:eastAsiaTheme="minorEastAsia" w:hAnsi="Invesco Interstate Light"/>
          <w:sz w:val="22"/>
          <w:szCs w:val="22"/>
        </w:rPr>
        <w:t xml:space="preserve">, obrázek 1b toho slibuje méně, výnosy všech aktiv mají po prvním snížení sazeb tendenci být horší (mnohé již může být promítnuto v cenách).  Také defenzivní aktiva (státní dluhopisy a aktiva investičního stupně (IG)) měla po prvním snížení sazeb tendenci dosahovat lepších </w:t>
      </w:r>
      <w:r w:rsidRPr="00E07A5F">
        <w:rPr>
          <w:rFonts w:ascii="Invesco Interstate Light" w:eastAsiaTheme="minorEastAsia" w:hAnsi="Invesco Interstate Light"/>
          <w:sz w:val="22"/>
          <w:szCs w:val="22"/>
        </w:rPr>
        <w:lastRenderedPageBreak/>
        <w:t>výsledků než rizikovější aktiva (ta možná zasáhla recese).  Tato defenzivní aktiva měla také tendenci dosahovat v roce po prvním snížení sazeb lepších výsledků než průměr („všechny kalendářní roky“), avšak rizikovější aktiva ne.</w:t>
      </w:r>
    </w:p>
    <w:p w14:paraId="6FB5244F" w14:textId="77777777" w:rsidR="00E07A5F" w:rsidRPr="00E07A5F" w:rsidRDefault="00E07A5F" w:rsidP="00E07A5F">
      <w:pPr>
        <w:spacing w:line="360" w:lineRule="auto"/>
        <w:jc w:val="both"/>
        <w:rPr>
          <w:rFonts w:ascii="Invesco Interstate Light" w:eastAsiaTheme="minorEastAsia" w:hAnsi="Invesco Interstate Light"/>
          <w:sz w:val="22"/>
          <w:szCs w:val="22"/>
        </w:rPr>
      </w:pPr>
    </w:p>
    <w:p w14:paraId="58C35957" w14:textId="77777777" w:rsidR="00E07A5F" w:rsidRDefault="00E07A5F" w:rsidP="00E07A5F">
      <w:pPr>
        <w:spacing w:line="360" w:lineRule="auto"/>
        <w:jc w:val="both"/>
        <w:rPr>
          <w:rFonts w:ascii="Invesco Interstate Light" w:eastAsiaTheme="minorEastAsia" w:hAnsi="Invesco Interstate Light"/>
          <w:sz w:val="22"/>
          <w:szCs w:val="22"/>
        </w:rPr>
      </w:pPr>
      <w:r w:rsidRPr="00E07A5F">
        <w:rPr>
          <w:rFonts w:ascii="Invesco Interstate Light" w:eastAsiaTheme="minorEastAsia" w:hAnsi="Invesco Interstate Light"/>
          <w:sz w:val="22"/>
          <w:szCs w:val="22"/>
        </w:rPr>
        <w:t>Vzhledem k omezené historii indexu HY nemůže analýza opět začít dříve než v roce 1986, přičemž první cyklus uvolňování sazeb zahrnutý do této analýzy začal v červnu 1989 (data prvních snížení sazeb jsou uvedena v příloze).  Tím je analýza omezena na pět cyklů snižování sazeb před tímto rokem (důraz je kladen na snižování sazeb, nikoli na kvantitativní uvolňování), což není obrovský vzorek (zahrnuto je celkem devět volebních období).</w:t>
      </w:r>
    </w:p>
    <w:p w14:paraId="4BD34C00" w14:textId="77777777" w:rsidR="00E07A5F" w:rsidRPr="00E07A5F" w:rsidRDefault="00E07A5F" w:rsidP="00E07A5F">
      <w:pPr>
        <w:spacing w:line="360" w:lineRule="auto"/>
        <w:jc w:val="both"/>
        <w:rPr>
          <w:rFonts w:ascii="Invesco Interstate Light" w:eastAsiaTheme="minorEastAsia" w:hAnsi="Invesco Interstate Light"/>
          <w:sz w:val="22"/>
          <w:szCs w:val="22"/>
        </w:rPr>
      </w:pPr>
    </w:p>
    <w:p w14:paraId="70BD8A21" w14:textId="77777777" w:rsidR="00E07A5F" w:rsidRPr="00E07A5F" w:rsidRDefault="00E07A5F" w:rsidP="00E07A5F">
      <w:pPr>
        <w:spacing w:line="360" w:lineRule="auto"/>
        <w:jc w:val="both"/>
        <w:rPr>
          <w:rFonts w:ascii="Invesco Interstate Light" w:eastAsiaTheme="minorEastAsia" w:hAnsi="Invesco Interstate Light"/>
          <w:sz w:val="22"/>
          <w:szCs w:val="22"/>
        </w:rPr>
      </w:pPr>
      <w:r w:rsidRPr="00E07A5F">
        <w:rPr>
          <w:rFonts w:ascii="Invesco Interstate Light" w:eastAsiaTheme="minorEastAsia" w:hAnsi="Invesco Interstate Light"/>
          <w:sz w:val="22"/>
          <w:szCs w:val="22"/>
        </w:rPr>
        <w:t>Okolnosti jednotlivých voleb a cyklů uvolňování jsou samozřejmě různé a průměry mohou více skrývat než odhalovat, zejména když se vezme v úvahu, že zahrnují globální finanční krizi (GFC) a pandemii Covid.  Příloha obsahuje grafy, které ukazují, co se stane, pokud vyloučíme tyto dvě extrémní epizody.  Porovnání obrázků 1 a 8 naznačuje, že epizody GFC a pandemie měly na data v obrázku 1 řadu vlivů: Zaprvé, výnosy všech aktiv před volbami (kromě státních dluhopisů) byly sníženy v důsledku velkých ztrát v roce 2008; zadruhé, výnosy úvěrů (IG a HY) a akcií po volbách byly zvýšeny značným oživením v letech 2009 a 2021; zatřetí, výnosy akcií s malou kapitalizací před snížením sazeb byly sníženy slabou výkonností před uvolněním v červenci 2019. Výkonnost dluhu a akcií po snížení sazeb byla snížena velkými zápornými výnosy v roce po snížení sazeb v září 2007 (v době, kdy probíhala globální finanční krize).</w:t>
      </w:r>
    </w:p>
    <w:p w14:paraId="5D2B4945" w14:textId="37749E4D" w:rsidR="00E07A5F" w:rsidRPr="00E07A5F" w:rsidRDefault="00E07A5F" w:rsidP="00E07A5F">
      <w:pPr>
        <w:spacing w:line="360" w:lineRule="auto"/>
        <w:jc w:val="both"/>
        <w:rPr>
          <w:rFonts w:ascii="Invesco Interstate Light" w:eastAsiaTheme="minorEastAsia" w:hAnsi="Invesco Interstate Light"/>
          <w:sz w:val="22"/>
          <w:szCs w:val="22"/>
        </w:rPr>
      </w:pPr>
      <w:r>
        <w:rPr>
          <w:rFonts w:ascii="Invesco Interstate Light" w:eastAsiaTheme="minorEastAsia" w:hAnsi="Invesco Interstate Light"/>
          <w:sz w:val="22"/>
          <w:szCs w:val="22"/>
        </w:rPr>
        <w:br/>
      </w:r>
      <w:r w:rsidRPr="00E07A5F">
        <w:rPr>
          <w:rFonts w:ascii="Invesco Interstate Light" w:eastAsiaTheme="minorEastAsia" w:hAnsi="Invesco Interstate Light"/>
          <w:sz w:val="22"/>
          <w:szCs w:val="22"/>
        </w:rPr>
        <w:t xml:space="preserve">Doufejme, že ani finanční krize, ani pandemie nebudou sloužit jako vodítka pro nadcházející rok.  Povzbudivějším vzorem může být polovina 90. let, tedy období, kdy Fed zmírnil sazby podobně jako v tomto cyklu (počínaje 5. červencem 1995), proběhly volby (5. listopadu 1996) a nedošlo k recesi (podle </w:t>
      </w:r>
      <w:proofErr w:type="spellStart"/>
      <w:r w:rsidRPr="00E07A5F">
        <w:rPr>
          <w:rFonts w:ascii="Invesco Interstate Light" w:eastAsiaTheme="minorEastAsia" w:hAnsi="Invesco Interstate Light"/>
          <w:sz w:val="22"/>
          <w:szCs w:val="22"/>
        </w:rPr>
        <w:t>National</w:t>
      </w:r>
      <w:proofErr w:type="spellEnd"/>
      <w:r w:rsidRPr="00E07A5F">
        <w:rPr>
          <w:rFonts w:ascii="Invesco Interstate Light" w:eastAsiaTheme="minorEastAsia" w:hAnsi="Invesco Interstate Light"/>
          <w:sz w:val="22"/>
          <w:szCs w:val="22"/>
        </w:rPr>
        <w:t xml:space="preserve"> </w:t>
      </w:r>
      <w:proofErr w:type="spellStart"/>
      <w:r w:rsidRPr="00E07A5F">
        <w:rPr>
          <w:rFonts w:ascii="Invesco Interstate Light" w:eastAsiaTheme="minorEastAsia" w:hAnsi="Invesco Interstate Light"/>
          <w:sz w:val="22"/>
          <w:szCs w:val="22"/>
        </w:rPr>
        <w:t>Bureau</w:t>
      </w:r>
      <w:proofErr w:type="spellEnd"/>
      <w:r w:rsidRPr="00E07A5F">
        <w:rPr>
          <w:rFonts w:ascii="Invesco Interstate Light" w:eastAsiaTheme="minorEastAsia" w:hAnsi="Invesco Interstate Light"/>
          <w:sz w:val="22"/>
          <w:szCs w:val="22"/>
        </w:rPr>
        <w:t xml:space="preserve"> </w:t>
      </w:r>
      <w:proofErr w:type="spellStart"/>
      <w:r w:rsidRPr="00E07A5F">
        <w:rPr>
          <w:rFonts w:ascii="Invesco Interstate Light" w:eastAsiaTheme="minorEastAsia" w:hAnsi="Invesco Interstate Light"/>
          <w:sz w:val="22"/>
          <w:szCs w:val="22"/>
        </w:rPr>
        <w:t>of</w:t>
      </w:r>
      <w:proofErr w:type="spellEnd"/>
      <w:r w:rsidRPr="00E07A5F">
        <w:rPr>
          <w:rFonts w:ascii="Invesco Interstate Light" w:eastAsiaTheme="minorEastAsia" w:hAnsi="Invesco Interstate Light"/>
          <w:sz w:val="22"/>
          <w:szCs w:val="22"/>
        </w:rPr>
        <w:t xml:space="preserve"> </w:t>
      </w:r>
      <w:proofErr w:type="spellStart"/>
      <w:r w:rsidRPr="00E07A5F">
        <w:rPr>
          <w:rFonts w:ascii="Invesco Interstate Light" w:eastAsiaTheme="minorEastAsia" w:hAnsi="Invesco Interstate Light"/>
          <w:sz w:val="22"/>
          <w:szCs w:val="22"/>
        </w:rPr>
        <w:t>Economic</w:t>
      </w:r>
      <w:proofErr w:type="spellEnd"/>
      <w:r w:rsidRPr="00E07A5F">
        <w:rPr>
          <w:rFonts w:ascii="Invesco Interstate Light" w:eastAsiaTheme="minorEastAsia" w:hAnsi="Invesco Interstate Light"/>
          <w:sz w:val="22"/>
          <w:szCs w:val="22"/>
        </w:rPr>
        <w:t xml:space="preserve"> </w:t>
      </w:r>
      <w:proofErr w:type="spellStart"/>
      <w:r w:rsidRPr="00E07A5F">
        <w:rPr>
          <w:rFonts w:ascii="Invesco Interstate Light" w:eastAsiaTheme="minorEastAsia" w:hAnsi="Invesco Interstate Light"/>
          <w:sz w:val="22"/>
          <w:szCs w:val="22"/>
        </w:rPr>
        <w:t>Research</w:t>
      </w:r>
      <w:proofErr w:type="spellEnd"/>
      <w:r w:rsidRPr="00E07A5F">
        <w:rPr>
          <w:rFonts w:ascii="Invesco Interstate Light" w:eastAsiaTheme="minorEastAsia" w:hAnsi="Invesco Interstate Light"/>
          <w:sz w:val="22"/>
          <w:szCs w:val="22"/>
        </w:rPr>
        <w:t xml:space="preserve"> nedošlo k recesi mezi březnem 1991 a březnem 2001).   Výnosy všech aktiv byly v roce 1995 impozantní a v letech 1996 a 1997 došlo k dalším výrazným ziskům (zejména u HY a akcií).  V roce 1995 do prvního snížení sazeb v červenci byly zaznamenány vysoké výnosy všech aktiv a akcie dosáhly podobně vysokých výnosů i v následujících 12 měsících.</w:t>
      </w:r>
    </w:p>
    <w:p w14:paraId="13E7E528" w14:textId="5E209663" w:rsidR="00E07A5F" w:rsidRPr="00E07A5F" w:rsidRDefault="00E07A5F" w:rsidP="00E07A5F">
      <w:pPr>
        <w:spacing w:line="360" w:lineRule="auto"/>
        <w:jc w:val="both"/>
        <w:rPr>
          <w:rFonts w:ascii="Invesco Interstate Light" w:eastAsiaTheme="minorEastAsia" w:hAnsi="Invesco Interstate Light"/>
          <w:sz w:val="22"/>
          <w:szCs w:val="22"/>
        </w:rPr>
      </w:pPr>
      <w:r>
        <w:rPr>
          <w:rFonts w:ascii="Invesco Interstate Light" w:eastAsiaTheme="minorEastAsia" w:hAnsi="Invesco Interstate Light"/>
          <w:sz w:val="22"/>
          <w:szCs w:val="22"/>
        </w:rPr>
        <w:br/>
      </w:r>
      <w:r w:rsidRPr="00E07A5F">
        <w:rPr>
          <w:rFonts w:ascii="Invesco Interstate Light" w:eastAsiaTheme="minorEastAsia" w:hAnsi="Invesco Interstate Light"/>
          <w:sz w:val="22"/>
          <w:szCs w:val="22"/>
        </w:rPr>
        <w:t xml:space="preserve">Vysoké výnosy napříč všemi třídami aktiv v roce před volbami v listopadu 1996 byly následně v roce 1997 ještě vyšší. Co by se tedy teď mohlo pokazit?  Zřejmou odpovědí je znepokojivý růst nebo dokonce recese.  Je nutné zmínit, že průměrný čtvrtletní anualizovaný růst HDP činil v období 1994-1997 3,8 %, zatímco od </w:t>
      </w:r>
      <w:r w:rsidRPr="00E07A5F">
        <w:rPr>
          <w:rFonts w:ascii="Invesco Interstate Light" w:eastAsiaTheme="minorEastAsia" w:hAnsi="Invesco Interstate Light"/>
          <w:sz w:val="22"/>
          <w:szCs w:val="22"/>
        </w:rPr>
        <w:lastRenderedPageBreak/>
        <w:t xml:space="preserve">počátku roku 2022 to bylo pouze 2,3 %. Grafy 1a a </w:t>
      </w:r>
      <w:proofErr w:type="gramStart"/>
      <w:r w:rsidRPr="00E07A5F">
        <w:rPr>
          <w:rFonts w:ascii="Invesco Interstate Light" w:eastAsiaTheme="minorEastAsia" w:hAnsi="Invesco Interstate Light"/>
          <w:sz w:val="22"/>
          <w:szCs w:val="22"/>
        </w:rPr>
        <w:t>1b</w:t>
      </w:r>
      <w:proofErr w:type="gramEnd"/>
      <w:r w:rsidRPr="00E07A5F">
        <w:rPr>
          <w:rFonts w:ascii="Invesco Interstate Light" w:eastAsiaTheme="minorEastAsia" w:hAnsi="Invesco Interstate Light"/>
          <w:sz w:val="22"/>
          <w:szCs w:val="22"/>
        </w:rPr>
        <w:t xml:space="preserve"> ukazují, že všechna aktiva (zejména akcie) si v posledním roce vedla mimořádně dobře.  To se nyní odráží v rozpětí HY, které se blíží cyklickým omezením, a ve zvýšeném ocenění širších akciových indexů.</w:t>
      </w:r>
    </w:p>
    <w:p w14:paraId="70CD0667" w14:textId="2BBFF8F2" w:rsidR="00E07A5F" w:rsidRPr="00E07A5F" w:rsidRDefault="00E07A5F" w:rsidP="00E07A5F">
      <w:pPr>
        <w:spacing w:line="360" w:lineRule="auto"/>
        <w:jc w:val="both"/>
        <w:rPr>
          <w:rFonts w:ascii="Invesco Interstate Light" w:eastAsiaTheme="minorEastAsia" w:hAnsi="Invesco Interstate Light"/>
          <w:sz w:val="22"/>
          <w:szCs w:val="22"/>
        </w:rPr>
      </w:pPr>
      <w:r>
        <w:rPr>
          <w:rFonts w:ascii="Invesco Interstate Light" w:eastAsiaTheme="minorEastAsia" w:hAnsi="Invesco Interstate Light"/>
          <w:sz w:val="22"/>
          <w:szCs w:val="22"/>
        </w:rPr>
        <w:br/>
      </w:r>
      <w:r w:rsidRPr="00E07A5F">
        <w:rPr>
          <w:rFonts w:ascii="Invesco Interstate Light" w:eastAsiaTheme="minorEastAsia" w:hAnsi="Invesco Interstate Light"/>
          <w:sz w:val="22"/>
          <w:szCs w:val="22"/>
        </w:rPr>
        <w:t xml:space="preserve">Obrázek 2 ukazuje, že valuace akciového trhu (podle </w:t>
      </w:r>
      <w:proofErr w:type="spellStart"/>
      <w:r w:rsidRPr="00E07A5F">
        <w:rPr>
          <w:rFonts w:ascii="Invesco Interstate Light" w:eastAsiaTheme="minorEastAsia" w:hAnsi="Invesco Interstate Light"/>
          <w:sz w:val="22"/>
          <w:szCs w:val="22"/>
        </w:rPr>
        <w:t>Shillerova</w:t>
      </w:r>
      <w:proofErr w:type="spellEnd"/>
      <w:r w:rsidRPr="00E07A5F">
        <w:rPr>
          <w:rFonts w:ascii="Invesco Interstate Light" w:eastAsiaTheme="minorEastAsia" w:hAnsi="Invesco Interstate Light"/>
          <w:sz w:val="22"/>
          <w:szCs w:val="22"/>
        </w:rPr>
        <w:t xml:space="preserve"> PE) ale nemá žádný vztah k valuacím v roce 1995 (</w:t>
      </w:r>
      <w:proofErr w:type="spellStart"/>
      <w:r w:rsidRPr="00E07A5F">
        <w:rPr>
          <w:rFonts w:ascii="Invesco Interstate Light" w:eastAsiaTheme="minorEastAsia" w:hAnsi="Invesco Interstate Light"/>
          <w:sz w:val="22"/>
          <w:szCs w:val="22"/>
        </w:rPr>
        <w:t>Shillerův</w:t>
      </w:r>
      <w:proofErr w:type="spellEnd"/>
      <w:r w:rsidRPr="00E07A5F">
        <w:rPr>
          <w:rFonts w:ascii="Invesco Interstate Light" w:eastAsiaTheme="minorEastAsia" w:hAnsi="Invesco Interstate Light"/>
          <w:sz w:val="22"/>
          <w:szCs w:val="22"/>
        </w:rPr>
        <w:t xml:space="preserve"> PE začínal v tomto roce na hodnotě přibližně 20 a nyní se pohybuje kolem 35).  Vždy může jít výše (vrcholu dosáhla v době dot.com bubliny kolem 43), ale zdá se, že výchozí bod zahrnoval mnoho dobrých zpráv.  Také koncentrace amerického trhu je mnohem vyšší než během předchozí technologické bubliny. Samotné volby by navíc mohly přinést špatné zprávy.  Ačkoli se zdá, že trhy přijímají myšlenku opětovného zvolení Trumpa prezidentem, nejsem přesvědčen, že vyhraje. Ani si nemyslím, že jeho případné vítězství přinese oslabení ekonomiky podpořené cly, prohloubení fiskální nerovnováhy kvůli snížení daní a podkopání nezávislosti </w:t>
      </w:r>
      <w:proofErr w:type="spellStart"/>
      <w:r w:rsidRPr="00E07A5F">
        <w:rPr>
          <w:rFonts w:ascii="Invesco Interstate Light" w:eastAsiaTheme="minorEastAsia" w:hAnsi="Invesco Interstate Light"/>
          <w:sz w:val="22"/>
          <w:szCs w:val="22"/>
        </w:rPr>
        <w:t>Fedu</w:t>
      </w:r>
      <w:proofErr w:type="spellEnd"/>
      <w:r w:rsidRPr="00E07A5F">
        <w:rPr>
          <w:rFonts w:ascii="Invesco Interstate Light" w:eastAsiaTheme="minorEastAsia" w:hAnsi="Invesco Interstate Light"/>
          <w:sz w:val="22"/>
          <w:szCs w:val="22"/>
        </w:rPr>
        <w:t xml:space="preserve"> silný dolar nebo rekordní akciový trh.  </w:t>
      </w:r>
    </w:p>
    <w:p w14:paraId="60B10F56" w14:textId="7D7423D8" w:rsidR="00E07A5F" w:rsidRPr="00E07A5F" w:rsidRDefault="00E07A5F" w:rsidP="00E07A5F">
      <w:pPr>
        <w:spacing w:line="360" w:lineRule="auto"/>
        <w:jc w:val="both"/>
        <w:rPr>
          <w:rFonts w:ascii="Invesco Interstate Light" w:eastAsiaTheme="minorEastAsia" w:hAnsi="Invesco Interstate Light"/>
          <w:sz w:val="22"/>
          <w:szCs w:val="22"/>
        </w:rPr>
      </w:pPr>
      <w:r>
        <w:br/>
      </w:r>
      <w:r w:rsidRPr="00E07A5F">
        <w:rPr>
          <w:rFonts w:ascii="Invesco Interstate Light" w:eastAsiaTheme="minorEastAsia" w:hAnsi="Invesco Interstate Light"/>
          <w:sz w:val="22"/>
          <w:szCs w:val="22"/>
        </w:rPr>
        <w:t xml:space="preserve">V současné době mám v rámci své modelové alokace aktiv (viz obrázek 6) americký akciový trh </w:t>
      </w:r>
      <w:proofErr w:type="spellStart"/>
      <w:r w:rsidRPr="00E07A5F">
        <w:rPr>
          <w:rFonts w:ascii="Invesco Interstate Light" w:eastAsiaTheme="minorEastAsia" w:hAnsi="Invesco Interstate Light"/>
          <w:sz w:val="22"/>
          <w:szCs w:val="22"/>
        </w:rPr>
        <w:t>podvážený</w:t>
      </w:r>
      <w:proofErr w:type="spellEnd"/>
      <w:r w:rsidRPr="00E07A5F">
        <w:rPr>
          <w:rFonts w:ascii="Invesco Interstate Light" w:eastAsiaTheme="minorEastAsia" w:hAnsi="Invesco Interstate Light"/>
          <w:sz w:val="22"/>
          <w:szCs w:val="22"/>
        </w:rPr>
        <w:t xml:space="preserve"> a předpokládám, že dolar oslabí.  Upřednostňuji rovnovážný přístup k americkým akciím.</w:t>
      </w:r>
    </w:p>
    <w:p w14:paraId="71F71FAA" w14:textId="210EACAA" w:rsidR="00C84872" w:rsidRDefault="00C84872" w:rsidP="00C84872">
      <w:pPr>
        <w:spacing w:before="100" w:beforeAutospacing="1" w:after="100" w:afterAutospacing="1" w:line="276" w:lineRule="auto"/>
        <w:jc w:val="both"/>
        <w:rPr>
          <w:rFonts w:ascii="Invesco Interstate Light" w:eastAsiaTheme="minorEastAsia" w:hAnsi="Invesco Interstate Light"/>
          <w:b/>
          <w:bCs/>
          <w:sz w:val="22"/>
          <w:szCs w:val="22"/>
        </w:rPr>
      </w:pPr>
      <w:r>
        <w:rPr>
          <w:rFonts w:ascii="Invesco Interstate Light" w:eastAsiaTheme="minorEastAsia" w:hAnsi="Invesco Interstate Light"/>
          <w:b/>
          <w:bCs/>
          <w:sz w:val="22"/>
          <w:szCs w:val="22"/>
        </w:rPr>
        <w:t>Graf</w:t>
      </w:r>
      <w:r w:rsidRPr="0042335C">
        <w:rPr>
          <w:rFonts w:ascii="Invesco Interstate Light" w:eastAsiaTheme="minorEastAsia" w:hAnsi="Invesco Interstate Light"/>
          <w:b/>
          <w:bCs/>
          <w:sz w:val="22"/>
          <w:szCs w:val="22"/>
        </w:rPr>
        <w:t xml:space="preserve"> </w:t>
      </w:r>
      <w:r>
        <w:rPr>
          <w:rFonts w:ascii="Invesco Interstate Light" w:eastAsiaTheme="minorEastAsia" w:hAnsi="Invesco Interstate Light"/>
          <w:b/>
          <w:bCs/>
          <w:sz w:val="22"/>
          <w:szCs w:val="22"/>
        </w:rPr>
        <w:t>2</w:t>
      </w:r>
      <w:r w:rsidRPr="0042335C">
        <w:rPr>
          <w:rFonts w:ascii="Invesco Interstate Light" w:eastAsiaTheme="minorEastAsia" w:hAnsi="Invesco Interstate Light"/>
          <w:b/>
          <w:bCs/>
          <w:sz w:val="22"/>
          <w:szCs w:val="22"/>
        </w:rPr>
        <w:t xml:space="preserve">: </w:t>
      </w:r>
      <w:proofErr w:type="spellStart"/>
      <w:r w:rsidRPr="00C84872">
        <w:rPr>
          <w:rFonts w:ascii="Invesco Interstate Light" w:eastAsiaTheme="minorEastAsia" w:hAnsi="Invesco Interstate Light"/>
          <w:b/>
          <w:bCs/>
          <w:sz w:val="22"/>
          <w:szCs w:val="22"/>
        </w:rPr>
        <w:t>Shiller</w:t>
      </w:r>
      <w:r w:rsidRPr="00C84872">
        <w:rPr>
          <w:rFonts w:ascii="Invesco Interstate Light" w:eastAsiaTheme="minorEastAsia" w:hAnsi="Invesco Interstate Light" w:hint="eastAsia"/>
          <w:b/>
          <w:bCs/>
          <w:sz w:val="22"/>
          <w:szCs w:val="22"/>
        </w:rPr>
        <w:t>ů</w:t>
      </w:r>
      <w:r w:rsidRPr="00C84872">
        <w:rPr>
          <w:rFonts w:ascii="Invesco Interstate Light" w:eastAsiaTheme="minorEastAsia" w:hAnsi="Invesco Interstate Light"/>
          <w:b/>
          <w:bCs/>
          <w:sz w:val="22"/>
          <w:szCs w:val="22"/>
        </w:rPr>
        <w:t>v</w:t>
      </w:r>
      <w:proofErr w:type="spellEnd"/>
      <w:r w:rsidRPr="00C84872">
        <w:rPr>
          <w:rFonts w:ascii="Invesco Interstate Light" w:eastAsiaTheme="minorEastAsia" w:hAnsi="Invesco Interstate Light"/>
          <w:b/>
          <w:bCs/>
          <w:sz w:val="22"/>
          <w:szCs w:val="22"/>
        </w:rPr>
        <w:t xml:space="preserve"> PE, recese v USA a budoucí tržní výnosy</w:t>
      </w:r>
    </w:p>
    <w:p w14:paraId="5AEB9316" w14:textId="74FF8B38" w:rsidR="0042335C" w:rsidRDefault="00C84872" w:rsidP="00E07A5F">
      <w:pPr>
        <w:spacing w:before="100" w:beforeAutospacing="1" w:after="100" w:afterAutospacing="1" w:line="360" w:lineRule="auto"/>
        <w:jc w:val="both"/>
        <w:rPr>
          <w:rFonts w:ascii="Invesco Interstate Light" w:eastAsiaTheme="minorEastAsia" w:hAnsi="Invesco Interstate Light"/>
          <w:sz w:val="22"/>
          <w:szCs w:val="22"/>
        </w:rPr>
      </w:pPr>
      <w:r w:rsidRPr="00C84872">
        <w:rPr>
          <w:rFonts w:ascii="Invesco Interstate Light" w:eastAsiaTheme="minorEastAsia" w:hAnsi="Invesco Interstate Light"/>
          <w:noProof/>
          <w:sz w:val="22"/>
          <w:szCs w:val="22"/>
        </w:rPr>
        <w:drawing>
          <wp:inline distT="0" distB="0" distL="0" distR="0" wp14:anchorId="0A8CE08D" wp14:editId="04B3D0BB">
            <wp:extent cx="6108065" cy="2534285"/>
            <wp:effectExtent l="0" t="0" r="6985" b="0"/>
            <wp:docPr id="5450069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00693" name=""/>
                    <pic:cNvPicPr/>
                  </pic:nvPicPr>
                  <pic:blipFill>
                    <a:blip r:embed="rId13"/>
                    <a:stretch>
                      <a:fillRect/>
                    </a:stretch>
                  </pic:blipFill>
                  <pic:spPr>
                    <a:xfrm>
                      <a:off x="0" y="0"/>
                      <a:ext cx="6108065" cy="2534285"/>
                    </a:xfrm>
                    <a:prstGeom prst="rect">
                      <a:avLst/>
                    </a:prstGeom>
                  </pic:spPr>
                </pic:pic>
              </a:graphicData>
            </a:graphic>
          </wp:inline>
        </w:drawing>
      </w:r>
    </w:p>
    <w:p w14:paraId="18D03471" w14:textId="1EE8D378" w:rsidR="0042335C" w:rsidRPr="00C84872" w:rsidRDefault="00C84872" w:rsidP="00C84872">
      <w:pPr>
        <w:spacing w:before="100" w:beforeAutospacing="1" w:after="100" w:afterAutospacing="1" w:line="276" w:lineRule="auto"/>
        <w:jc w:val="both"/>
        <w:rPr>
          <w:rFonts w:ascii="Invesco Interstate Light" w:eastAsiaTheme="minorEastAsia" w:hAnsi="Invesco Interstate Light"/>
          <w:i/>
          <w:iCs/>
        </w:rPr>
      </w:pPr>
      <w:r w:rsidRPr="00C84872">
        <w:rPr>
          <w:rFonts w:ascii="Invesco Interstate Light" w:eastAsiaTheme="minorEastAsia" w:hAnsi="Invesco Interstate Light"/>
          <w:i/>
          <w:iCs/>
        </w:rPr>
        <w:t>Poznámka: Minulá výkonnost není zárukou budoucích výsledk</w:t>
      </w:r>
      <w:r w:rsidRPr="00C84872">
        <w:rPr>
          <w:rFonts w:ascii="Invesco Interstate Light" w:eastAsiaTheme="minorEastAsia" w:hAnsi="Invesco Interstate Light" w:hint="eastAsia"/>
          <w:i/>
          <w:iCs/>
        </w:rPr>
        <w:t>ů</w:t>
      </w:r>
      <w:r w:rsidRPr="00C84872">
        <w:rPr>
          <w:rFonts w:ascii="Invesco Interstate Light" w:eastAsiaTheme="minorEastAsia" w:hAnsi="Invesco Interstate Light"/>
          <w:i/>
          <w:iCs/>
        </w:rPr>
        <w:t>. M</w:t>
      </w:r>
      <w:r w:rsidRPr="00C84872">
        <w:rPr>
          <w:rFonts w:ascii="Invesco Interstate Light" w:eastAsiaTheme="minorEastAsia" w:hAnsi="Invesco Interstate Light" w:hint="eastAsia"/>
          <w:i/>
          <w:iCs/>
        </w:rPr>
        <w:t>ě</w:t>
      </w:r>
      <w:r w:rsidRPr="00C84872">
        <w:rPr>
          <w:rFonts w:ascii="Invesco Interstate Light" w:eastAsiaTheme="minorEastAsia" w:hAnsi="Invesco Interstate Light"/>
          <w:i/>
          <w:iCs/>
        </w:rPr>
        <w:t>sí</w:t>
      </w:r>
      <w:r w:rsidRPr="00C84872">
        <w:rPr>
          <w:rFonts w:ascii="Invesco Interstate Light" w:eastAsiaTheme="minorEastAsia" w:hAnsi="Invesco Interstate Light" w:hint="eastAsia"/>
          <w:i/>
          <w:iCs/>
        </w:rPr>
        <w:t>č</w:t>
      </w:r>
      <w:r w:rsidRPr="00C84872">
        <w:rPr>
          <w:rFonts w:ascii="Invesco Interstate Light" w:eastAsiaTheme="minorEastAsia" w:hAnsi="Invesco Interstate Light"/>
          <w:i/>
          <w:iCs/>
        </w:rPr>
        <w:t>ní údaje od ledna 1881 do zá</w:t>
      </w:r>
      <w:r w:rsidRPr="00C84872">
        <w:rPr>
          <w:rFonts w:ascii="Invesco Interstate Light" w:eastAsiaTheme="minorEastAsia" w:hAnsi="Invesco Interstate Light" w:hint="eastAsia"/>
          <w:i/>
          <w:iCs/>
        </w:rPr>
        <w:t>ří</w:t>
      </w:r>
      <w:r w:rsidRPr="00C84872">
        <w:rPr>
          <w:rFonts w:ascii="Invesco Interstate Light" w:eastAsiaTheme="minorEastAsia" w:hAnsi="Invesco Interstate Light"/>
          <w:i/>
          <w:iCs/>
        </w:rPr>
        <w:t xml:space="preserve"> 2024 (k 30. zá</w:t>
      </w:r>
      <w:r w:rsidRPr="00C84872">
        <w:rPr>
          <w:rFonts w:ascii="Invesco Interstate Light" w:eastAsiaTheme="minorEastAsia" w:hAnsi="Invesco Interstate Light" w:hint="eastAsia"/>
          <w:i/>
          <w:iCs/>
        </w:rPr>
        <w:t>ří</w:t>
      </w:r>
      <w:r w:rsidRPr="00C84872">
        <w:rPr>
          <w:rFonts w:ascii="Invesco Interstate Light" w:eastAsiaTheme="minorEastAsia" w:hAnsi="Invesco Interstate Light"/>
          <w:i/>
          <w:iCs/>
        </w:rPr>
        <w:t xml:space="preserve"> 2024). „Recese NBER“ jsou období recese v USA podle definice Národního ú</w:t>
      </w:r>
      <w:r w:rsidRPr="00C84872">
        <w:rPr>
          <w:rFonts w:ascii="Invesco Interstate Light" w:eastAsiaTheme="minorEastAsia" w:hAnsi="Invesco Interstate Light" w:hint="eastAsia"/>
          <w:i/>
          <w:iCs/>
        </w:rPr>
        <w:t>ř</w:t>
      </w:r>
      <w:r w:rsidRPr="00C84872">
        <w:rPr>
          <w:rFonts w:ascii="Invesco Interstate Light" w:eastAsiaTheme="minorEastAsia" w:hAnsi="Invesco Interstate Light"/>
          <w:i/>
          <w:iCs/>
        </w:rPr>
        <w:t>adu pro ekonomický výzkum. Viz p</w:t>
      </w:r>
      <w:r w:rsidRPr="00C84872">
        <w:rPr>
          <w:rFonts w:ascii="Invesco Interstate Light" w:eastAsiaTheme="minorEastAsia" w:hAnsi="Invesco Interstate Light" w:hint="eastAsia"/>
          <w:i/>
          <w:iCs/>
        </w:rPr>
        <w:t>ří</w:t>
      </w:r>
      <w:r w:rsidRPr="00C84872">
        <w:rPr>
          <w:rFonts w:ascii="Invesco Interstate Light" w:eastAsiaTheme="minorEastAsia" w:hAnsi="Invesco Interstate Light"/>
          <w:i/>
          <w:iCs/>
        </w:rPr>
        <w:t>lohy definice a prohlášení o vylou</w:t>
      </w:r>
      <w:r w:rsidRPr="00C84872">
        <w:rPr>
          <w:rFonts w:ascii="Invesco Interstate Light" w:eastAsiaTheme="minorEastAsia" w:hAnsi="Invesco Interstate Light" w:hint="eastAsia"/>
          <w:i/>
          <w:iCs/>
        </w:rPr>
        <w:t>č</w:t>
      </w:r>
      <w:r w:rsidRPr="00C84872">
        <w:rPr>
          <w:rFonts w:ascii="Invesco Interstate Light" w:eastAsiaTheme="minorEastAsia" w:hAnsi="Invesco Interstate Light"/>
          <w:i/>
          <w:iCs/>
        </w:rPr>
        <w:t>ení odpov</w:t>
      </w:r>
      <w:r w:rsidRPr="00C84872">
        <w:rPr>
          <w:rFonts w:ascii="Invesco Interstate Light" w:eastAsiaTheme="minorEastAsia" w:hAnsi="Invesco Interstate Light" w:hint="eastAsia"/>
          <w:i/>
          <w:iCs/>
        </w:rPr>
        <w:t>ě</w:t>
      </w:r>
      <w:r w:rsidRPr="00C84872">
        <w:rPr>
          <w:rFonts w:ascii="Invesco Interstate Light" w:eastAsiaTheme="minorEastAsia" w:hAnsi="Invesco Interstate Light"/>
          <w:i/>
          <w:iCs/>
        </w:rPr>
        <w:t xml:space="preserve">dnosti. Zdroj: Robert </w:t>
      </w:r>
      <w:proofErr w:type="spellStart"/>
      <w:r w:rsidRPr="00C84872">
        <w:rPr>
          <w:rFonts w:ascii="Invesco Interstate Light" w:eastAsiaTheme="minorEastAsia" w:hAnsi="Invesco Interstate Light"/>
          <w:i/>
          <w:iCs/>
        </w:rPr>
        <w:t>Shiller</w:t>
      </w:r>
      <w:proofErr w:type="spellEnd"/>
      <w:r w:rsidRPr="00C84872">
        <w:rPr>
          <w:rFonts w:ascii="Invesco Interstate Light" w:eastAsiaTheme="minorEastAsia" w:hAnsi="Invesco Interstate Light"/>
          <w:i/>
          <w:iCs/>
        </w:rPr>
        <w:t xml:space="preserve">, LSEG </w:t>
      </w:r>
      <w:proofErr w:type="spellStart"/>
      <w:r w:rsidRPr="00C84872">
        <w:rPr>
          <w:rFonts w:ascii="Invesco Interstate Light" w:eastAsiaTheme="minorEastAsia" w:hAnsi="Invesco Interstate Light"/>
          <w:i/>
          <w:iCs/>
        </w:rPr>
        <w:t>Datastream</w:t>
      </w:r>
      <w:proofErr w:type="spellEnd"/>
      <w:r w:rsidRPr="00C84872">
        <w:rPr>
          <w:rFonts w:ascii="Invesco Interstate Light" w:eastAsiaTheme="minorEastAsia" w:hAnsi="Invesco Interstate Light"/>
          <w:i/>
          <w:iCs/>
        </w:rPr>
        <w:t xml:space="preserve"> a </w:t>
      </w:r>
      <w:proofErr w:type="spellStart"/>
      <w:r w:rsidRPr="00C84872">
        <w:rPr>
          <w:rFonts w:ascii="Invesco Interstate Light" w:eastAsiaTheme="minorEastAsia" w:hAnsi="Invesco Interstate Light"/>
          <w:i/>
          <w:iCs/>
        </w:rPr>
        <w:t>Invesco</w:t>
      </w:r>
      <w:proofErr w:type="spellEnd"/>
      <w:r w:rsidRPr="00C84872">
        <w:rPr>
          <w:rFonts w:ascii="Invesco Interstate Light" w:eastAsiaTheme="minorEastAsia" w:hAnsi="Invesco Interstate Light"/>
          <w:i/>
          <w:iCs/>
        </w:rPr>
        <w:t xml:space="preserve"> </w:t>
      </w:r>
      <w:proofErr w:type="spellStart"/>
      <w:r w:rsidRPr="00C84872">
        <w:rPr>
          <w:rFonts w:ascii="Invesco Interstate Light" w:eastAsiaTheme="minorEastAsia" w:hAnsi="Invesco Interstate Light"/>
          <w:i/>
          <w:iCs/>
        </w:rPr>
        <w:t>Global</w:t>
      </w:r>
      <w:proofErr w:type="spellEnd"/>
      <w:r w:rsidRPr="00C84872">
        <w:rPr>
          <w:rFonts w:ascii="Invesco Interstate Light" w:eastAsiaTheme="minorEastAsia" w:hAnsi="Invesco Interstate Light"/>
          <w:i/>
          <w:iCs/>
        </w:rPr>
        <w:t xml:space="preserve"> Market </w:t>
      </w:r>
      <w:proofErr w:type="spellStart"/>
      <w:r w:rsidRPr="00C84872">
        <w:rPr>
          <w:rFonts w:ascii="Invesco Interstate Light" w:eastAsiaTheme="minorEastAsia" w:hAnsi="Invesco Interstate Light"/>
          <w:i/>
          <w:iCs/>
        </w:rPr>
        <w:t>Strategy</w:t>
      </w:r>
      <w:proofErr w:type="spellEnd"/>
      <w:r w:rsidRPr="00C84872">
        <w:rPr>
          <w:rFonts w:ascii="Invesco Interstate Light" w:eastAsiaTheme="minorEastAsia" w:hAnsi="Invesco Interstate Light"/>
          <w:i/>
          <w:iCs/>
        </w:rPr>
        <w:t xml:space="preserve"> Office.</w:t>
      </w:r>
    </w:p>
    <w:p w14:paraId="0A8A82D5" w14:textId="22386E3A" w:rsidR="000C33E2" w:rsidRDefault="00C84872" w:rsidP="0042335C">
      <w:pPr>
        <w:spacing w:before="100" w:beforeAutospacing="1" w:after="100" w:afterAutospacing="1" w:line="276" w:lineRule="auto"/>
        <w:jc w:val="both"/>
        <w:rPr>
          <w:rFonts w:ascii="Invesco Interstate Light" w:eastAsiaTheme="minorEastAsia" w:hAnsi="Invesco Interstate Light"/>
          <w:b/>
          <w:bCs/>
          <w:sz w:val="22"/>
          <w:szCs w:val="22"/>
        </w:rPr>
      </w:pPr>
      <w:r>
        <w:rPr>
          <w:rFonts w:ascii="Invesco Interstate Light" w:eastAsiaTheme="minorEastAsia" w:hAnsi="Invesco Interstate Light"/>
          <w:b/>
          <w:bCs/>
          <w:sz w:val="22"/>
          <w:szCs w:val="22"/>
        </w:rPr>
        <w:t>Obrázek 3</w:t>
      </w:r>
      <w:r w:rsidRPr="0042335C">
        <w:rPr>
          <w:rFonts w:ascii="Invesco Interstate Light" w:eastAsiaTheme="minorEastAsia" w:hAnsi="Invesco Interstate Light"/>
          <w:b/>
          <w:bCs/>
          <w:sz w:val="22"/>
          <w:szCs w:val="22"/>
        </w:rPr>
        <w:t xml:space="preserve">: </w:t>
      </w:r>
      <w:r>
        <w:rPr>
          <w:rFonts w:ascii="Invesco Interstate Light" w:eastAsiaTheme="minorEastAsia" w:hAnsi="Invesco Interstate Light"/>
          <w:b/>
          <w:bCs/>
          <w:sz w:val="22"/>
          <w:szCs w:val="22"/>
        </w:rPr>
        <w:t>Celkové výnosy tříd aktiv (%)</w:t>
      </w:r>
    </w:p>
    <w:p w14:paraId="77E1DD70" w14:textId="507B12F3" w:rsidR="00C84872" w:rsidRDefault="00C84872" w:rsidP="0042335C">
      <w:pPr>
        <w:spacing w:before="100" w:beforeAutospacing="1" w:after="100" w:afterAutospacing="1" w:line="276" w:lineRule="auto"/>
        <w:jc w:val="both"/>
        <w:rPr>
          <w:rFonts w:ascii="Invesco Interstate Light" w:eastAsiaTheme="minorEastAsia" w:hAnsi="Invesco Interstate Light"/>
          <w:b/>
          <w:bCs/>
          <w:sz w:val="22"/>
          <w:szCs w:val="22"/>
        </w:rPr>
      </w:pPr>
      <w:r w:rsidRPr="00C84872">
        <w:rPr>
          <w:rFonts w:ascii="Invesco Interstate Light" w:eastAsiaTheme="minorEastAsia" w:hAnsi="Invesco Interstate Light"/>
          <w:b/>
          <w:bCs/>
          <w:noProof/>
          <w:sz w:val="22"/>
          <w:szCs w:val="22"/>
        </w:rPr>
        <w:lastRenderedPageBreak/>
        <w:drawing>
          <wp:inline distT="0" distB="0" distL="0" distR="0" wp14:anchorId="1C92CF18" wp14:editId="471F84E4">
            <wp:extent cx="5830114" cy="7363853"/>
            <wp:effectExtent l="0" t="0" r="0" b="8890"/>
            <wp:docPr id="123394859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948599" name=""/>
                    <pic:cNvPicPr/>
                  </pic:nvPicPr>
                  <pic:blipFill>
                    <a:blip r:embed="rId14"/>
                    <a:stretch>
                      <a:fillRect/>
                    </a:stretch>
                  </pic:blipFill>
                  <pic:spPr>
                    <a:xfrm>
                      <a:off x="0" y="0"/>
                      <a:ext cx="5830114" cy="7363853"/>
                    </a:xfrm>
                    <a:prstGeom prst="rect">
                      <a:avLst/>
                    </a:prstGeom>
                  </pic:spPr>
                </pic:pic>
              </a:graphicData>
            </a:graphic>
          </wp:inline>
        </w:drawing>
      </w:r>
    </w:p>
    <w:p w14:paraId="2A397434" w14:textId="40228E08" w:rsidR="00C84872" w:rsidRPr="0042335C" w:rsidRDefault="00C84872" w:rsidP="0042335C">
      <w:pPr>
        <w:spacing w:before="100" w:beforeAutospacing="1" w:after="100" w:afterAutospacing="1" w:line="276" w:lineRule="auto"/>
        <w:jc w:val="both"/>
        <w:rPr>
          <w:rFonts w:ascii="Invesco Interstate Light" w:eastAsiaTheme="minorEastAsia" w:hAnsi="Invesco Interstate Light"/>
          <w:b/>
          <w:bCs/>
          <w:sz w:val="22"/>
          <w:szCs w:val="22"/>
        </w:rPr>
      </w:pPr>
      <w:r>
        <w:rPr>
          <w:rFonts w:ascii="Invesco Interstate Light" w:eastAsiaTheme="minorEastAsia" w:hAnsi="Invesco Interstate Light"/>
          <w:b/>
          <w:bCs/>
          <w:sz w:val="22"/>
          <w:szCs w:val="22"/>
        </w:rPr>
        <w:t>Obrázek 4</w:t>
      </w:r>
      <w:r w:rsidRPr="0042335C">
        <w:rPr>
          <w:rFonts w:ascii="Invesco Interstate Light" w:eastAsiaTheme="minorEastAsia" w:hAnsi="Invesco Interstate Light"/>
          <w:b/>
          <w:bCs/>
          <w:sz w:val="22"/>
          <w:szCs w:val="22"/>
        </w:rPr>
        <w:t xml:space="preserve">: </w:t>
      </w:r>
      <w:r>
        <w:rPr>
          <w:rFonts w:ascii="Invesco Interstate Light" w:eastAsiaTheme="minorEastAsia" w:hAnsi="Invesco Interstate Light"/>
          <w:b/>
          <w:bCs/>
          <w:sz w:val="22"/>
          <w:szCs w:val="22"/>
        </w:rPr>
        <w:t>Celkové výnosy globálních akciových sektorů ve vztahu k trhu (%)</w:t>
      </w:r>
    </w:p>
    <w:p w14:paraId="2E4C2A54" w14:textId="629D8224" w:rsidR="000C33E2" w:rsidRPr="0042335C" w:rsidRDefault="00C84872" w:rsidP="000A4943">
      <w:pPr>
        <w:spacing w:line="360" w:lineRule="auto"/>
        <w:jc w:val="both"/>
        <w:rPr>
          <w:rFonts w:ascii="Invesco Interstate Light" w:eastAsiaTheme="minorEastAsia" w:hAnsi="Invesco Interstate Light"/>
          <w:b/>
          <w:bCs/>
          <w:sz w:val="22"/>
          <w:szCs w:val="22"/>
        </w:rPr>
      </w:pPr>
      <w:r w:rsidRPr="00C84872">
        <w:rPr>
          <w:rFonts w:ascii="Invesco Interstate Light" w:eastAsiaTheme="minorEastAsia" w:hAnsi="Invesco Interstate Light"/>
          <w:noProof/>
          <w:sz w:val="22"/>
          <w:szCs w:val="22"/>
        </w:rPr>
        <w:lastRenderedPageBreak/>
        <w:drawing>
          <wp:inline distT="0" distB="0" distL="0" distR="0" wp14:anchorId="3A49B3E3" wp14:editId="3886F0D8">
            <wp:extent cx="5820587" cy="4153480"/>
            <wp:effectExtent l="0" t="0" r="0" b="0"/>
            <wp:docPr id="160762147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621475" name=""/>
                    <pic:cNvPicPr/>
                  </pic:nvPicPr>
                  <pic:blipFill>
                    <a:blip r:embed="rId15"/>
                    <a:stretch>
                      <a:fillRect/>
                    </a:stretch>
                  </pic:blipFill>
                  <pic:spPr>
                    <a:xfrm>
                      <a:off x="0" y="0"/>
                      <a:ext cx="5820587" cy="4153480"/>
                    </a:xfrm>
                    <a:prstGeom prst="rect">
                      <a:avLst/>
                    </a:prstGeom>
                  </pic:spPr>
                </pic:pic>
              </a:graphicData>
            </a:graphic>
          </wp:inline>
        </w:drawing>
      </w:r>
    </w:p>
    <w:p w14:paraId="12848689" w14:textId="4F969C22" w:rsidR="0042335C" w:rsidRDefault="0042335C" w:rsidP="000C33E2">
      <w:pPr>
        <w:spacing w:line="360" w:lineRule="auto"/>
        <w:jc w:val="both"/>
        <w:rPr>
          <w:rFonts w:ascii="Invesco Interstate Light" w:eastAsiaTheme="minorEastAsia" w:hAnsi="Invesco Interstate Light"/>
          <w:sz w:val="22"/>
          <w:szCs w:val="22"/>
        </w:rPr>
      </w:pPr>
    </w:p>
    <w:p w14:paraId="408D8C9F" w14:textId="016266E7" w:rsidR="00036240" w:rsidRPr="00032DC6" w:rsidRDefault="00036240" w:rsidP="00032DC6">
      <w:pPr>
        <w:autoSpaceDE w:val="0"/>
        <w:autoSpaceDN w:val="0"/>
        <w:adjustRightInd w:val="0"/>
        <w:spacing w:line="360" w:lineRule="auto"/>
        <w:jc w:val="both"/>
        <w:rPr>
          <w:rFonts w:ascii="Invesco Interstate Light" w:eastAsiaTheme="minorEastAsia" w:hAnsi="Invesco Interstate Light"/>
          <w:sz w:val="22"/>
          <w:szCs w:val="22"/>
        </w:rPr>
      </w:pPr>
    </w:p>
    <w:p w14:paraId="11588B8D" w14:textId="77777777" w:rsidR="00497B07" w:rsidRPr="004E3E12"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0CEE6742" w14:textId="77777777" w:rsidR="00252413" w:rsidRDefault="00252413" w:rsidP="00651AAE">
      <w:pPr>
        <w:autoSpaceDE w:val="0"/>
        <w:autoSpaceDN w:val="0"/>
        <w:adjustRightInd w:val="0"/>
        <w:spacing w:line="240" w:lineRule="auto"/>
        <w:rPr>
          <w:rFonts w:ascii="Invesco Interstate Light" w:hAnsi="Invesco Interstate Light"/>
          <w:sz w:val="22"/>
          <w:szCs w:val="22"/>
        </w:rPr>
      </w:pPr>
    </w:p>
    <w:p w14:paraId="30FC09F2" w14:textId="77777777" w:rsidR="00497B07" w:rsidRPr="004E3E12" w:rsidRDefault="4E481D2D" w:rsidP="00651AAE">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501660E1" w14:textId="77777777"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058F7B06" w14:textId="77777777" w:rsidR="00497B07" w:rsidRPr="00873CBF" w:rsidRDefault="00497B07" w:rsidP="00651AAE">
      <w:pPr>
        <w:autoSpaceDE w:val="0"/>
        <w:autoSpaceDN w:val="0"/>
        <w:adjustRightInd w:val="0"/>
        <w:spacing w:line="240" w:lineRule="auto"/>
        <w:rPr>
          <w:rFonts w:ascii="Invesco Interstate Light" w:hAnsi="Invesco Interstate Light"/>
          <w:b/>
          <w:bCs/>
          <w:sz w:val="22"/>
          <w:szCs w:val="22"/>
        </w:rPr>
      </w:pPr>
    </w:p>
    <w:p w14:paraId="6C6F3C24" w14:textId="77777777" w:rsidR="00243188" w:rsidRDefault="00243188" w:rsidP="00651AAE">
      <w:pPr>
        <w:autoSpaceDE w:val="0"/>
        <w:autoSpaceDN w:val="0"/>
        <w:adjustRightInd w:val="0"/>
        <w:spacing w:line="240" w:lineRule="auto"/>
        <w:rPr>
          <w:rFonts w:ascii="Invesco Interstate Light" w:hAnsi="Invesco Interstate Light"/>
          <w:b/>
          <w:bCs/>
          <w:sz w:val="22"/>
          <w:szCs w:val="22"/>
        </w:rPr>
      </w:pPr>
    </w:p>
    <w:p w14:paraId="02631C4E" w14:textId="77777777"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2F418D1E" w14:textId="77777777" w:rsidR="00674110"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00CF74E6" w14:textId="77777777"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31C43A20" w14:textId="77777777" w:rsidR="00D80D6F" w:rsidRDefault="00D80D6F" w:rsidP="00651AAE">
      <w:pPr>
        <w:autoSpaceDE w:val="0"/>
        <w:autoSpaceDN w:val="0"/>
        <w:adjustRightInd w:val="0"/>
        <w:spacing w:line="240" w:lineRule="auto"/>
        <w:rPr>
          <w:rFonts w:ascii="Invesco Interstate Light" w:hAnsi="Invesco Interstate Light"/>
          <w:b/>
          <w:bCs/>
          <w:sz w:val="22"/>
          <w:szCs w:val="22"/>
        </w:rPr>
      </w:pPr>
    </w:p>
    <w:p w14:paraId="4FF6BBA9" w14:textId="77777777"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 xml:space="preserve">O společnosti </w:t>
      </w:r>
      <w:proofErr w:type="spellStart"/>
      <w:r w:rsidRPr="00654055">
        <w:rPr>
          <w:rFonts w:ascii="Invesco Interstate Light" w:hAnsi="Invesco Interstate Light"/>
          <w:b/>
          <w:bCs/>
          <w:sz w:val="22"/>
          <w:szCs w:val="22"/>
        </w:rPr>
        <w:t>Invesco</w:t>
      </w:r>
      <w:proofErr w:type="spellEnd"/>
    </w:p>
    <w:p w14:paraId="478A2629" w14:textId="77777777"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19E6DA4C"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Österreich</w:t>
      </w:r>
      <w:proofErr w:type="spellEnd"/>
      <w:r w:rsidRPr="00654055">
        <w:rPr>
          <w:rFonts w:ascii="Invesco Interstate Light" w:hAnsi="Invesco Interstate Light"/>
          <w:sz w:val="22"/>
          <w:szCs w:val="22"/>
        </w:rPr>
        <w:t xml:space="preserve"> </w:t>
      </w:r>
      <w:r w:rsidR="008E6B91">
        <w:rPr>
          <w:rFonts w:ascii="Invesco Interstate Light" w:hAnsi="Invesco Interstate Light"/>
        </w:rPr>
        <w:t>–</w:t>
      </w:r>
      <w:r w:rsidRPr="00654055">
        <w:rPr>
          <w:rFonts w:ascii="Invesco Interstate Light" w:hAnsi="Invesco Interstate Light"/>
          <w:sz w:val="22"/>
          <w:szCs w:val="22"/>
        </w:rPr>
        <w:t xml:space="preserve"> pobočka pobočky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proofErr w:type="gram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jsou</w:t>
      </w:r>
      <w:proofErr w:type="gramEnd"/>
      <w:r w:rsidRPr="00654055">
        <w:rPr>
          <w:rFonts w:ascii="Invesco Interstate Light" w:hAnsi="Invesco Interstate Light"/>
          <w:sz w:val="22"/>
          <w:szCs w:val="22"/>
        </w:rPr>
        <w:t xml:space="preserve"> součástí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Ltd., </w:t>
      </w:r>
    </w:p>
    <w:p w14:paraId="48516290"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753EF6B1"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0B8ACFFA"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lastRenderedPageBreak/>
        <w:t xml:space="preserve">V případě jakýchkoli dotazů nebo potřeby dalších informací se obraťte na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w:t>
      </w:r>
      <w:r w:rsidR="00CD1333">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Valentin Jakubow, telefon +49 69 29807-311.</w:t>
      </w:r>
    </w:p>
    <w:p w14:paraId="67595E0B"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6A79BCFC"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5B540C73"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426E901D"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269B7770" w14:textId="77777777" w:rsidR="00C2269E"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Vydavatelem těchto informací v České republice je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An der </w:t>
      </w:r>
      <w:proofErr w:type="spellStart"/>
      <w:r w:rsidRPr="00654055">
        <w:rPr>
          <w:rFonts w:ascii="Invesco Interstate Light" w:hAnsi="Invesco Interstate Light"/>
          <w:sz w:val="22"/>
          <w:szCs w:val="22"/>
        </w:rPr>
        <w:t>Welle</w:t>
      </w:r>
      <w:proofErr w:type="spellEnd"/>
      <w:r w:rsidRPr="00654055">
        <w:rPr>
          <w:rFonts w:ascii="Invesco Interstate Light" w:hAnsi="Invesco Interstate Light"/>
          <w:sz w:val="22"/>
          <w:szCs w:val="22"/>
        </w:rPr>
        <w:t xml:space="preserv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Red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Oak</w:t>
      </w:r>
      <w:proofErr w:type="spellEnd"/>
      <w:r w:rsidRPr="00654055">
        <w:rPr>
          <w:rFonts w:ascii="Invesco Interstate Light" w:hAnsi="Invesco Interstate Light"/>
          <w:sz w:val="22"/>
          <w:szCs w:val="22"/>
        </w:rPr>
        <w:t xml:space="preserve"> ID: 1958016</w:t>
      </w:r>
    </w:p>
    <w:p w14:paraId="3541C16E"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36A66637" w14:textId="77777777"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28AC09DF" w14:textId="77777777" w:rsidR="00861B48" w:rsidRPr="00861B48" w:rsidRDefault="00861B48" w:rsidP="00861B48">
      <w:pPr>
        <w:spacing w:line="240" w:lineRule="auto"/>
        <w:rPr>
          <w:rFonts w:ascii="Invesco Interstate Light" w:hAnsi="Invesco Interstate Light"/>
          <w:b/>
          <w:sz w:val="22"/>
          <w:szCs w:val="22"/>
          <w:u w:val="single"/>
        </w:rPr>
      </w:pPr>
    </w:p>
    <w:p w14:paraId="6B038B32"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1FFFF8B" w14:textId="77777777" w:rsidR="002355DD" w:rsidRPr="00873CBF" w:rsidRDefault="002355DD" w:rsidP="002355DD">
      <w:pPr>
        <w:spacing w:line="240" w:lineRule="exact"/>
        <w:rPr>
          <w:rFonts w:ascii="Invesco Interstate Light" w:hAnsi="Invesco Interstate Light"/>
          <w:b/>
          <w:sz w:val="22"/>
          <w:szCs w:val="22"/>
        </w:rPr>
      </w:pPr>
      <w:proofErr w:type="spellStart"/>
      <w:r w:rsidRPr="00873CBF">
        <w:rPr>
          <w:rFonts w:ascii="Invesco Interstate Light" w:hAnsi="Invesco Interstate Light"/>
          <w:b/>
          <w:sz w:val="22"/>
          <w:szCs w:val="22"/>
        </w:rPr>
        <w:t>Crest</w:t>
      </w:r>
      <w:proofErr w:type="spellEnd"/>
      <w:r w:rsidRPr="00873CBF">
        <w:rPr>
          <w:rFonts w:ascii="Invesco Interstate Light" w:hAnsi="Invesco Interstate Light"/>
          <w:b/>
          <w:sz w:val="22"/>
          <w:szCs w:val="22"/>
        </w:rPr>
        <w:t xml:space="preserve"> Communications, a.s.</w:t>
      </w:r>
    </w:p>
    <w:p w14:paraId="54FB2D12" w14:textId="77777777" w:rsidR="002355DD" w:rsidRPr="00873CBF" w:rsidRDefault="002355DD" w:rsidP="002355DD">
      <w:pPr>
        <w:spacing w:line="240" w:lineRule="exact"/>
        <w:rPr>
          <w:rFonts w:ascii="Invesco Interstate Light" w:hAnsi="Invesco Interstate Light"/>
          <w:sz w:val="22"/>
          <w:szCs w:val="22"/>
        </w:rPr>
      </w:pPr>
    </w:p>
    <w:p w14:paraId="42FCE083"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7A3DCB51"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2FADD870" w14:textId="77777777" w:rsidR="002355DD" w:rsidRPr="00873CBF" w:rsidRDefault="002355DD" w:rsidP="002355DD">
      <w:pPr>
        <w:spacing w:line="240" w:lineRule="exact"/>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3B551DD3" w14:textId="77777777" w:rsidR="002355DD" w:rsidRPr="00907B79" w:rsidRDefault="002355DD" w:rsidP="00907B79">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6" w:history="1">
        <w:r w:rsidRPr="00873CBF">
          <w:rPr>
            <w:rFonts w:ascii="Invesco Interstate Light" w:hAnsi="Invesco Interstate Light"/>
            <w:sz w:val="22"/>
            <w:szCs w:val="22"/>
          </w:rPr>
          <w:t>eliska.krohova@crestcom.cz</w:t>
        </w:r>
      </w:hyperlink>
    </w:p>
    <w:sectPr w:rsidR="002355DD" w:rsidRPr="00907B79" w:rsidSect="00AD7532">
      <w:headerReference w:type="default" r:id="rId17"/>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7C600" w14:textId="77777777" w:rsidR="00374D63" w:rsidRDefault="00374D63">
      <w:r>
        <w:separator/>
      </w:r>
    </w:p>
  </w:endnote>
  <w:endnote w:type="continuationSeparator" w:id="0">
    <w:p w14:paraId="14D90B0A" w14:textId="77777777" w:rsidR="00374D63" w:rsidRDefault="00374D63">
      <w:r>
        <w:continuationSeparator/>
      </w:r>
    </w:p>
  </w:endnote>
  <w:endnote w:type="continuationNotice" w:id="1">
    <w:p w14:paraId="5F00238D" w14:textId="77777777" w:rsidR="00374D63" w:rsidRDefault="00374D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0E4C2" w14:textId="77777777" w:rsidR="00374D63" w:rsidRDefault="00374D63">
      <w:r>
        <w:separator/>
      </w:r>
    </w:p>
  </w:footnote>
  <w:footnote w:type="continuationSeparator" w:id="0">
    <w:p w14:paraId="0B0C134F" w14:textId="77777777" w:rsidR="00374D63" w:rsidRDefault="00374D63">
      <w:r>
        <w:continuationSeparator/>
      </w:r>
    </w:p>
  </w:footnote>
  <w:footnote w:type="continuationNotice" w:id="1">
    <w:p w14:paraId="590493A6" w14:textId="77777777" w:rsidR="00374D63" w:rsidRDefault="00374D6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6C7C3" w14:textId="77777777"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02340A20" wp14:editId="21752E4A">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anchor>
      </w:drawing>
    </w:r>
    <w:r w:rsidR="59A5D358">
      <w:rPr>
        <w:rFonts w:ascii="Invesco Interstate Bold" w:hAnsi="Invesco Interstate Bold"/>
        <w:sz w:val="28"/>
        <w:szCs w:val="28"/>
      </w:rPr>
      <w:t xml:space="preserve">Press </w:t>
    </w:r>
    <w:proofErr w:type="spellStart"/>
    <w:r w:rsidR="59A5D358">
      <w:rPr>
        <w:rFonts w:ascii="Invesco Interstate Bold" w:hAnsi="Invesco Interstate Bold"/>
        <w:sz w:val="28"/>
        <w:szCs w:val="28"/>
      </w:rPr>
      <w:t>release</w:t>
    </w:r>
    <w:proofErr w:type="spellEnd"/>
  </w:p>
  <w:p w14:paraId="7FBA5F2D"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2BE22B4C" w14:textId="0ADBEA61" w:rsidR="00702C33" w:rsidRPr="000730A6" w:rsidRDefault="00410B1A" w:rsidP="0083625E">
    <w:pPr>
      <w:pStyle w:val="Zhlav"/>
      <w:pBdr>
        <w:top w:val="single" w:sz="4" w:space="3" w:color="auto"/>
      </w:pBdr>
      <w:spacing w:line="298" w:lineRule="exact"/>
      <w:ind w:left="3402"/>
      <w:jc w:val="right"/>
      <w:rPr>
        <w:color w:val="000000"/>
        <w:sz w:val="28"/>
        <w:szCs w:val="28"/>
      </w:rPr>
    </w:pPr>
    <w:r>
      <w:rPr>
        <w:color w:val="000000"/>
        <w:sz w:val="28"/>
        <w:szCs w:val="28"/>
      </w:rPr>
      <w:t>30</w:t>
    </w:r>
    <w:r w:rsidR="0083625E">
      <w:rPr>
        <w:color w:val="000000"/>
        <w:sz w:val="28"/>
        <w:szCs w:val="28"/>
      </w:rPr>
      <w:t>.</w:t>
    </w:r>
    <w:r w:rsidR="008350B0">
      <w:rPr>
        <w:color w:val="000000"/>
        <w:sz w:val="28"/>
        <w:szCs w:val="28"/>
      </w:rPr>
      <w:t>10</w:t>
    </w:r>
    <w:r w:rsidR="0083625E">
      <w:rPr>
        <w:color w:val="000000"/>
        <w:sz w:val="28"/>
        <w:szCs w:val="28"/>
      </w:rPr>
      <w:t>.202</w:t>
    </w:r>
    <w:r w:rsidR="00FE0021">
      <w:rPr>
        <w:color w:val="000000"/>
        <w:sz w:val="28"/>
        <w:szCs w:val="28"/>
      </w:rPr>
      <w:t>4</w:t>
    </w:r>
  </w:p>
  <w:p w14:paraId="1EA3D675"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0E6703C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210972E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028A51A1" w14:textId="77777777"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9197A"/>
    <w:multiLevelType w:val="hybridMultilevel"/>
    <w:tmpl w:val="36B65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6F1666"/>
    <w:multiLevelType w:val="multilevel"/>
    <w:tmpl w:val="11820CCE"/>
    <w:numStyleLink w:val="FormatvorlageAufgezhlt"/>
  </w:abstractNum>
  <w:abstractNum w:abstractNumId="3"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120E66C1"/>
    <w:multiLevelType w:val="hybridMultilevel"/>
    <w:tmpl w:val="9A2E8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5E0799A"/>
    <w:multiLevelType w:val="hybridMultilevel"/>
    <w:tmpl w:val="36B65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0" w15:restartNumberingAfterBreak="0">
    <w:nsid w:val="1E345DB5"/>
    <w:multiLevelType w:val="hybridMultilevel"/>
    <w:tmpl w:val="4A88B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6B524D0"/>
    <w:multiLevelType w:val="hybridMultilevel"/>
    <w:tmpl w:val="36B65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C671E6"/>
    <w:multiLevelType w:val="hybridMultilevel"/>
    <w:tmpl w:val="1C8EFA80"/>
    <w:lvl w:ilvl="0" w:tplc="04050001">
      <w:start w:val="1"/>
      <w:numFmt w:val="bullet"/>
      <w:lvlText w:val=""/>
      <w:lvlJc w:val="left"/>
      <w:pPr>
        <w:ind w:left="720" w:hanging="360"/>
      </w:pPr>
      <w:rPr>
        <w:rFonts w:ascii="Symbol" w:hAnsi="Symbol" w:hint="default"/>
      </w:rPr>
    </w:lvl>
    <w:lvl w:ilvl="1" w:tplc="E97CBD4A">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226B76"/>
    <w:multiLevelType w:val="hybridMultilevel"/>
    <w:tmpl w:val="223E1852"/>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E3392A"/>
    <w:multiLevelType w:val="hybridMultilevel"/>
    <w:tmpl w:val="3ACE4E12"/>
    <w:lvl w:ilvl="0" w:tplc="48E2694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1D53D0"/>
    <w:multiLevelType w:val="hybridMultilevel"/>
    <w:tmpl w:val="36B65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8272E8"/>
    <w:multiLevelType w:val="hybridMultilevel"/>
    <w:tmpl w:val="0CF434E4"/>
    <w:lvl w:ilvl="0" w:tplc="B988134C">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AA46D70"/>
    <w:multiLevelType w:val="multilevel"/>
    <w:tmpl w:val="11820CCE"/>
    <w:numStyleLink w:val="FormatvorlageAufgezhlt"/>
  </w:abstractNum>
  <w:abstractNum w:abstractNumId="20" w15:restartNumberingAfterBreak="0">
    <w:nsid w:val="40AF481D"/>
    <w:multiLevelType w:val="hybridMultilevel"/>
    <w:tmpl w:val="7E585F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0E84C8F"/>
    <w:multiLevelType w:val="hybridMultilevel"/>
    <w:tmpl w:val="36B65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DA2BBE"/>
    <w:multiLevelType w:val="hybridMultilevel"/>
    <w:tmpl w:val="B4883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3D085B"/>
    <w:multiLevelType w:val="hybridMultilevel"/>
    <w:tmpl w:val="755E22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AE32DDB"/>
    <w:multiLevelType w:val="hybridMultilevel"/>
    <w:tmpl w:val="B4AA798C"/>
    <w:lvl w:ilvl="0" w:tplc="B988134C">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D630B23"/>
    <w:multiLevelType w:val="multilevel"/>
    <w:tmpl w:val="11820CCE"/>
    <w:numStyleLink w:val="FormatvorlageAufgezhlt"/>
  </w:abstractNum>
  <w:abstractNum w:abstractNumId="29" w15:restartNumberingAfterBreak="0">
    <w:nsid w:val="4E1D043F"/>
    <w:multiLevelType w:val="hybridMultilevel"/>
    <w:tmpl w:val="36B658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25A0C52"/>
    <w:multiLevelType w:val="hybridMultilevel"/>
    <w:tmpl w:val="F41A0B16"/>
    <w:lvl w:ilvl="0" w:tplc="04050001">
      <w:start w:val="1"/>
      <w:numFmt w:val="bullet"/>
      <w:lvlText w:val=""/>
      <w:lvlJc w:val="left"/>
      <w:pPr>
        <w:ind w:left="720" w:hanging="360"/>
      </w:pPr>
      <w:rPr>
        <w:rFonts w:ascii="Symbol" w:hAnsi="Symbol" w:hint="default"/>
      </w:rPr>
    </w:lvl>
    <w:lvl w:ilvl="1" w:tplc="1E6682B0">
      <w:numFmt w:val="bullet"/>
      <w:lvlText w:val="-"/>
      <w:lvlJc w:val="left"/>
      <w:pPr>
        <w:ind w:left="1440" w:hanging="360"/>
      </w:pPr>
      <w:rPr>
        <w:rFonts w:ascii="Interstate-Light" w:eastAsia="Times New Roman" w:hAnsi="Interstate-Light"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49C3397"/>
    <w:multiLevelType w:val="hybridMultilevel"/>
    <w:tmpl w:val="6B8A23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A715B9A"/>
    <w:multiLevelType w:val="hybridMultilevel"/>
    <w:tmpl w:val="36B65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8A4775"/>
    <w:multiLevelType w:val="hybridMultilevel"/>
    <w:tmpl w:val="36B65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F0EFC"/>
    <w:multiLevelType w:val="hybridMultilevel"/>
    <w:tmpl w:val="144E3F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A5A4861"/>
    <w:multiLevelType w:val="hybridMultilevel"/>
    <w:tmpl w:val="BD141A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BD403C3"/>
    <w:multiLevelType w:val="multilevel"/>
    <w:tmpl w:val="11820CCE"/>
    <w:numStyleLink w:val="FormatvorlageAufgezhlt"/>
  </w:abstractNum>
  <w:abstractNum w:abstractNumId="42" w15:restartNumberingAfterBreak="0">
    <w:nsid w:val="6C6C4721"/>
    <w:multiLevelType w:val="multilevel"/>
    <w:tmpl w:val="11820CCE"/>
    <w:numStyleLink w:val="FormatvorlageAufgezhlt"/>
  </w:abstractNum>
  <w:abstractNum w:abstractNumId="43" w15:restartNumberingAfterBreak="0">
    <w:nsid w:val="6D023049"/>
    <w:multiLevelType w:val="hybridMultilevel"/>
    <w:tmpl w:val="36B65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D854370"/>
    <w:multiLevelType w:val="multilevel"/>
    <w:tmpl w:val="C00C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4E5380B"/>
    <w:multiLevelType w:val="multilevel"/>
    <w:tmpl w:val="11820CCE"/>
    <w:numStyleLink w:val="FormatvorlageAufgezhlt"/>
  </w:abstractNum>
  <w:abstractNum w:abstractNumId="47"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6B55A57"/>
    <w:multiLevelType w:val="hybridMultilevel"/>
    <w:tmpl w:val="36B65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0058407">
    <w:abstractNumId w:val="0"/>
  </w:num>
  <w:num w:numId="2" w16cid:durableId="1483155109">
    <w:abstractNumId w:val="22"/>
  </w:num>
  <w:num w:numId="3" w16cid:durableId="1058673432">
    <w:abstractNumId w:val="37"/>
  </w:num>
  <w:num w:numId="4" w16cid:durableId="1730423567">
    <w:abstractNumId w:val="24"/>
  </w:num>
  <w:num w:numId="5" w16cid:durableId="1333148149">
    <w:abstractNumId w:val="28"/>
  </w:num>
  <w:num w:numId="6" w16cid:durableId="314455825">
    <w:abstractNumId w:val="41"/>
  </w:num>
  <w:num w:numId="7" w16cid:durableId="731198378">
    <w:abstractNumId w:val="42"/>
  </w:num>
  <w:num w:numId="8" w16cid:durableId="1195004484">
    <w:abstractNumId w:val="2"/>
  </w:num>
  <w:num w:numId="9" w16cid:durableId="47461023">
    <w:abstractNumId w:val="46"/>
  </w:num>
  <w:num w:numId="10" w16cid:durableId="1088232992">
    <w:abstractNumId w:val="19"/>
  </w:num>
  <w:num w:numId="11" w16cid:durableId="596720224">
    <w:abstractNumId w:val="5"/>
  </w:num>
  <w:num w:numId="12" w16cid:durableId="11818905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0141965">
    <w:abstractNumId w:val="52"/>
  </w:num>
  <w:num w:numId="14" w16cid:durableId="433985897">
    <w:abstractNumId w:val="53"/>
  </w:num>
  <w:num w:numId="15" w16cid:durableId="859778437">
    <w:abstractNumId w:val="35"/>
  </w:num>
  <w:num w:numId="16" w16cid:durableId="1185170297">
    <w:abstractNumId w:val="9"/>
  </w:num>
  <w:num w:numId="17" w16cid:durableId="1553468409">
    <w:abstractNumId w:val="3"/>
  </w:num>
  <w:num w:numId="18" w16cid:durableId="2045514728">
    <w:abstractNumId w:val="40"/>
  </w:num>
  <w:num w:numId="19" w16cid:durableId="2025092752">
    <w:abstractNumId w:val="44"/>
  </w:num>
  <w:num w:numId="20" w16cid:durableId="1183128137">
    <w:abstractNumId w:val="50"/>
  </w:num>
  <w:num w:numId="21" w16cid:durableId="1771581749">
    <w:abstractNumId w:val="48"/>
  </w:num>
  <w:num w:numId="22" w16cid:durableId="1104567758">
    <w:abstractNumId w:val="18"/>
  </w:num>
  <w:num w:numId="23" w16cid:durableId="106583224">
    <w:abstractNumId w:val="34"/>
  </w:num>
  <w:num w:numId="24" w16cid:durableId="999164007">
    <w:abstractNumId w:val="26"/>
  </w:num>
  <w:num w:numId="25" w16cid:durableId="730884105">
    <w:abstractNumId w:val="51"/>
  </w:num>
  <w:num w:numId="26" w16cid:durableId="892352369">
    <w:abstractNumId w:val="32"/>
  </w:num>
  <w:num w:numId="27" w16cid:durableId="1829445642">
    <w:abstractNumId w:val="4"/>
  </w:num>
  <w:num w:numId="28" w16cid:durableId="237179842">
    <w:abstractNumId w:val="7"/>
  </w:num>
  <w:num w:numId="29" w16cid:durableId="1106922947">
    <w:abstractNumId w:val="47"/>
  </w:num>
  <w:num w:numId="30" w16cid:durableId="1370059916">
    <w:abstractNumId w:val="30"/>
  </w:num>
  <w:num w:numId="31" w16cid:durableId="1332021732">
    <w:abstractNumId w:val="31"/>
  </w:num>
  <w:num w:numId="32" w16cid:durableId="1599289510">
    <w:abstractNumId w:val="10"/>
  </w:num>
  <w:num w:numId="33" w16cid:durableId="123156381">
    <w:abstractNumId w:val="45"/>
  </w:num>
  <w:num w:numId="34" w16cid:durableId="74061241">
    <w:abstractNumId w:val="23"/>
  </w:num>
  <w:num w:numId="35" w16cid:durableId="454254969">
    <w:abstractNumId w:val="15"/>
  </w:num>
  <w:num w:numId="36" w16cid:durableId="1851555716">
    <w:abstractNumId w:val="14"/>
  </w:num>
  <w:num w:numId="37" w16cid:durableId="629167241">
    <w:abstractNumId w:val="20"/>
  </w:num>
  <w:num w:numId="38" w16cid:durableId="629282308">
    <w:abstractNumId w:val="25"/>
  </w:num>
  <w:num w:numId="39" w16cid:durableId="914512492">
    <w:abstractNumId w:val="6"/>
  </w:num>
  <w:num w:numId="40" w16cid:durableId="1909345610">
    <w:abstractNumId w:val="38"/>
  </w:num>
  <w:num w:numId="41" w16cid:durableId="331569117">
    <w:abstractNumId w:val="27"/>
  </w:num>
  <w:num w:numId="42" w16cid:durableId="346760006">
    <w:abstractNumId w:val="17"/>
  </w:num>
  <w:num w:numId="43" w16cid:durableId="643899494">
    <w:abstractNumId w:val="39"/>
  </w:num>
  <w:num w:numId="44" w16cid:durableId="1087651064">
    <w:abstractNumId w:val="13"/>
  </w:num>
  <w:num w:numId="45" w16cid:durableId="3092289">
    <w:abstractNumId w:val="29"/>
  </w:num>
  <w:num w:numId="46" w16cid:durableId="1805198695">
    <w:abstractNumId w:val="8"/>
  </w:num>
  <w:num w:numId="47" w16cid:durableId="408425799">
    <w:abstractNumId w:val="36"/>
  </w:num>
  <w:num w:numId="48" w16cid:durableId="605770296">
    <w:abstractNumId w:val="43"/>
  </w:num>
  <w:num w:numId="49" w16cid:durableId="216283430">
    <w:abstractNumId w:val="16"/>
  </w:num>
  <w:num w:numId="50" w16cid:durableId="1333558059">
    <w:abstractNumId w:val="21"/>
  </w:num>
  <w:num w:numId="51" w16cid:durableId="2008510283">
    <w:abstractNumId w:val="12"/>
  </w:num>
  <w:num w:numId="52" w16cid:durableId="245118006">
    <w:abstractNumId w:val="1"/>
  </w:num>
  <w:num w:numId="53" w16cid:durableId="1889565493">
    <w:abstractNumId w:val="33"/>
  </w:num>
  <w:num w:numId="54" w16cid:durableId="215431626">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F9"/>
    <w:rsid w:val="00000468"/>
    <w:rsid w:val="0000077A"/>
    <w:rsid w:val="00000B2C"/>
    <w:rsid w:val="00001A70"/>
    <w:rsid w:val="00001C6F"/>
    <w:rsid w:val="00002567"/>
    <w:rsid w:val="00002E94"/>
    <w:rsid w:val="0000443E"/>
    <w:rsid w:val="00005B3E"/>
    <w:rsid w:val="000061D4"/>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3DC9"/>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DC6"/>
    <w:rsid w:val="00032FE3"/>
    <w:rsid w:val="000346DD"/>
    <w:rsid w:val="00034746"/>
    <w:rsid w:val="00034AAE"/>
    <w:rsid w:val="00035A16"/>
    <w:rsid w:val="00035A61"/>
    <w:rsid w:val="00036240"/>
    <w:rsid w:val="000365C1"/>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498A"/>
    <w:rsid w:val="00055023"/>
    <w:rsid w:val="00055C34"/>
    <w:rsid w:val="000560F4"/>
    <w:rsid w:val="000564C2"/>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A29"/>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997"/>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3EA"/>
    <w:rsid w:val="0009663F"/>
    <w:rsid w:val="00097356"/>
    <w:rsid w:val="00097DE4"/>
    <w:rsid w:val="000A0813"/>
    <w:rsid w:val="000A0DDF"/>
    <w:rsid w:val="000A33F8"/>
    <w:rsid w:val="000A3997"/>
    <w:rsid w:val="000A39FF"/>
    <w:rsid w:val="000A3C74"/>
    <w:rsid w:val="000A4943"/>
    <w:rsid w:val="000A4A52"/>
    <w:rsid w:val="000A6A83"/>
    <w:rsid w:val="000A6B52"/>
    <w:rsid w:val="000A7624"/>
    <w:rsid w:val="000B0C0F"/>
    <w:rsid w:val="000B0FE5"/>
    <w:rsid w:val="000B26FE"/>
    <w:rsid w:val="000B28B9"/>
    <w:rsid w:val="000B2AAC"/>
    <w:rsid w:val="000B2E1D"/>
    <w:rsid w:val="000B3C59"/>
    <w:rsid w:val="000B48B8"/>
    <w:rsid w:val="000B4D2A"/>
    <w:rsid w:val="000B661C"/>
    <w:rsid w:val="000B6D1B"/>
    <w:rsid w:val="000C0047"/>
    <w:rsid w:val="000C0E1E"/>
    <w:rsid w:val="000C1DF8"/>
    <w:rsid w:val="000C2CEE"/>
    <w:rsid w:val="000C2E2C"/>
    <w:rsid w:val="000C2FB4"/>
    <w:rsid w:val="000C33E2"/>
    <w:rsid w:val="000C412E"/>
    <w:rsid w:val="000C45E7"/>
    <w:rsid w:val="000C46FD"/>
    <w:rsid w:val="000C4C22"/>
    <w:rsid w:val="000C4FE6"/>
    <w:rsid w:val="000C5F20"/>
    <w:rsid w:val="000C67DC"/>
    <w:rsid w:val="000C6CF3"/>
    <w:rsid w:val="000C7217"/>
    <w:rsid w:val="000C764B"/>
    <w:rsid w:val="000C7DDD"/>
    <w:rsid w:val="000D00A8"/>
    <w:rsid w:val="000D0F52"/>
    <w:rsid w:val="000D2432"/>
    <w:rsid w:val="000D31AB"/>
    <w:rsid w:val="000D3A54"/>
    <w:rsid w:val="000D442D"/>
    <w:rsid w:val="000D4614"/>
    <w:rsid w:val="000D4A9F"/>
    <w:rsid w:val="000D54BF"/>
    <w:rsid w:val="000D5865"/>
    <w:rsid w:val="000D5B26"/>
    <w:rsid w:val="000D6236"/>
    <w:rsid w:val="000D69EA"/>
    <w:rsid w:val="000D71A7"/>
    <w:rsid w:val="000E00C1"/>
    <w:rsid w:val="000E03CA"/>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6C3B"/>
    <w:rsid w:val="00106DA6"/>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55"/>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56F49"/>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4B1"/>
    <w:rsid w:val="001707BE"/>
    <w:rsid w:val="00170959"/>
    <w:rsid w:val="00171D4F"/>
    <w:rsid w:val="001730BC"/>
    <w:rsid w:val="00173114"/>
    <w:rsid w:val="0017430A"/>
    <w:rsid w:val="001744FC"/>
    <w:rsid w:val="001745FB"/>
    <w:rsid w:val="0017488B"/>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7B4"/>
    <w:rsid w:val="001C283F"/>
    <w:rsid w:val="001C308A"/>
    <w:rsid w:val="001C3A08"/>
    <w:rsid w:val="001C439F"/>
    <w:rsid w:val="001C4DAE"/>
    <w:rsid w:val="001C5054"/>
    <w:rsid w:val="001C6667"/>
    <w:rsid w:val="001C7C8D"/>
    <w:rsid w:val="001D1073"/>
    <w:rsid w:val="001D1656"/>
    <w:rsid w:val="001D1A84"/>
    <w:rsid w:val="001D1CF9"/>
    <w:rsid w:val="001D273E"/>
    <w:rsid w:val="001D3885"/>
    <w:rsid w:val="001D38CF"/>
    <w:rsid w:val="001D4289"/>
    <w:rsid w:val="001D51A9"/>
    <w:rsid w:val="001D528C"/>
    <w:rsid w:val="001D663D"/>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CC"/>
    <w:rsid w:val="001F7844"/>
    <w:rsid w:val="00200AD9"/>
    <w:rsid w:val="0020129D"/>
    <w:rsid w:val="00202440"/>
    <w:rsid w:val="002027D8"/>
    <w:rsid w:val="002036EF"/>
    <w:rsid w:val="00203AEC"/>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0859"/>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3D63"/>
    <w:rsid w:val="00254175"/>
    <w:rsid w:val="002542E1"/>
    <w:rsid w:val="002545A2"/>
    <w:rsid w:val="00254867"/>
    <w:rsid w:val="002549E4"/>
    <w:rsid w:val="00254E91"/>
    <w:rsid w:val="002555F1"/>
    <w:rsid w:val="00256730"/>
    <w:rsid w:val="00256852"/>
    <w:rsid w:val="00256CD0"/>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3428"/>
    <w:rsid w:val="00274752"/>
    <w:rsid w:val="00274B80"/>
    <w:rsid w:val="00274F9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97202"/>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7C8"/>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1D2B"/>
    <w:rsid w:val="002C44E2"/>
    <w:rsid w:val="002C452E"/>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17"/>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2B4E"/>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AD6"/>
    <w:rsid w:val="00311C95"/>
    <w:rsid w:val="003126C0"/>
    <w:rsid w:val="0031307A"/>
    <w:rsid w:val="00313F5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1C7"/>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109"/>
    <w:rsid w:val="00362710"/>
    <w:rsid w:val="003647F8"/>
    <w:rsid w:val="00364DF1"/>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4D63"/>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31B"/>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3DFD"/>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1D7"/>
    <w:rsid w:val="003C520C"/>
    <w:rsid w:val="003C60D8"/>
    <w:rsid w:val="003C60F5"/>
    <w:rsid w:val="003C62E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5CDC"/>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1A"/>
    <w:rsid w:val="00410B5B"/>
    <w:rsid w:val="00411B58"/>
    <w:rsid w:val="00412187"/>
    <w:rsid w:val="00412400"/>
    <w:rsid w:val="00412414"/>
    <w:rsid w:val="00412722"/>
    <w:rsid w:val="00413F78"/>
    <w:rsid w:val="004142DA"/>
    <w:rsid w:val="004147DD"/>
    <w:rsid w:val="00414835"/>
    <w:rsid w:val="00414FF0"/>
    <w:rsid w:val="00415A8E"/>
    <w:rsid w:val="00416396"/>
    <w:rsid w:val="0041721E"/>
    <w:rsid w:val="00417EA1"/>
    <w:rsid w:val="004214B4"/>
    <w:rsid w:val="004215E8"/>
    <w:rsid w:val="004219DC"/>
    <w:rsid w:val="00421A3A"/>
    <w:rsid w:val="00422A1B"/>
    <w:rsid w:val="0042317D"/>
    <w:rsid w:val="004231C6"/>
    <w:rsid w:val="0042335C"/>
    <w:rsid w:val="004234DB"/>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2739"/>
    <w:rsid w:val="004530F1"/>
    <w:rsid w:val="00453631"/>
    <w:rsid w:val="004536A8"/>
    <w:rsid w:val="00453C91"/>
    <w:rsid w:val="004545D9"/>
    <w:rsid w:val="00454CD4"/>
    <w:rsid w:val="00455615"/>
    <w:rsid w:val="00455C75"/>
    <w:rsid w:val="0046020E"/>
    <w:rsid w:val="0046076E"/>
    <w:rsid w:val="00460A9E"/>
    <w:rsid w:val="00461115"/>
    <w:rsid w:val="00461772"/>
    <w:rsid w:val="00461AAC"/>
    <w:rsid w:val="004622EF"/>
    <w:rsid w:val="00462335"/>
    <w:rsid w:val="00462732"/>
    <w:rsid w:val="00462F08"/>
    <w:rsid w:val="00463084"/>
    <w:rsid w:val="00466227"/>
    <w:rsid w:val="00466288"/>
    <w:rsid w:val="0046643C"/>
    <w:rsid w:val="00467B94"/>
    <w:rsid w:val="00467F77"/>
    <w:rsid w:val="00470C9F"/>
    <w:rsid w:val="0047199E"/>
    <w:rsid w:val="004723D5"/>
    <w:rsid w:val="00472BB2"/>
    <w:rsid w:val="00472D49"/>
    <w:rsid w:val="004735F1"/>
    <w:rsid w:val="00473991"/>
    <w:rsid w:val="00473EFB"/>
    <w:rsid w:val="00474DD4"/>
    <w:rsid w:val="00475349"/>
    <w:rsid w:val="0047544F"/>
    <w:rsid w:val="0047561C"/>
    <w:rsid w:val="004756DD"/>
    <w:rsid w:val="004759D4"/>
    <w:rsid w:val="0047656F"/>
    <w:rsid w:val="0047658F"/>
    <w:rsid w:val="00476AAD"/>
    <w:rsid w:val="00477011"/>
    <w:rsid w:val="00477E03"/>
    <w:rsid w:val="00480634"/>
    <w:rsid w:val="00480793"/>
    <w:rsid w:val="0048113C"/>
    <w:rsid w:val="00481665"/>
    <w:rsid w:val="00484433"/>
    <w:rsid w:val="004879FC"/>
    <w:rsid w:val="00491235"/>
    <w:rsid w:val="00491331"/>
    <w:rsid w:val="0049155C"/>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3A6D"/>
    <w:rsid w:val="004A46E9"/>
    <w:rsid w:val="004A4898"/>
    <w:rsid w:val="004A4A38"/>
    <w:rsid w:val="004A5124"/>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4E3"/>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276"/>
    <w:rsid w:val="004C57BF"/>
    <w:rsid w:val="004C5EA8"/>
    <w:rsid w:val="004C6A17"/>
    <w:rsid w:val="004C73B4"/>
    <w:rsid w:val="004D0317"/>
    <w:rsid w:val="004D03DD"/>
    <w:rsid w:val="004D1118"/>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1D"/>
    <w:rsid w:val="004E6C79"/>
    <w:rsid w:val="004E75FF"/>
    <w:rsid w:val="004E77B1"/>
    <w:rsid w:val="004E7819"/>
    <w:rsid w:val="004E7C4A"/>
    <w:rsid w:val="004F0B33"/>
    <w:rsid w:val="004F19B4"/>
    <w:rsid w:val="004F1BC0"/>
    <w:rsid w:val="004F222D"/>
    <w:rsid w:val="004F31F8"/>
    <w:rsid w:val="004F3360"/>
    <w:rsid w:val="004F3451"/>
    <w:rsid w:val="004F380C"/>
    <w:rsid w:val="004F3C38"/>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388"/>
    <w:rsid w:val="00512C3F"/>
    <w:rsid w:val="005131B9"/>
    <w:rsid w:val="0051394F"/>
    <w:rsid w:val="00513F36"/>
    <w:rsid w:val="00514357"/>
    <w:rsid w:val="00514A3E"/>
    <w:rsid w:val="00514C4E"/>
    <w:rsid w:val="00514EF9"/>
    <w:rsid w:val="005150EA"/>
    <w:rsid w:val="005152A6"/>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1234"/>
    <w:rsid w:val="005523DD"/>
    <w:rsid w:val="00552451"/>
    <w:rsid w:val="00552F7E"/>
    <w:rsid w:val="005533D2"/>
    <w:rsid w:val="005537A9"/>
    <w:rsid w:val="00553C1B"/>
    <w:rsid w:val="00555233"/>
    <w:rsid w:val="005552F4"/>
    <w:rsid w:val="00555A91"/>
    <w:rsid w:val="00555EEF"/>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3F9"/>
    <w:rsid w:val="0058147F"/>
    <w:rsid w:val="00581D17"/>
    <w:rsid w:val="00581E3D"/>
    <w:rsid w:val="0058255A"/>
    <w:rsid w:val="00582A8E"/>
    <w:rsid w:val="00583E64"/>
    <w:rsid w:val="00583E97"/>
    <w:rsid w:val="0058416E"/>
    <w:rsid w:val="00584652"/>
    <w:rsid w:val="005859BC"/>
    <w:rsid w:val="00585B1F"/>
    <w:rsid w:val="00586060"/>
    <w:rsid w:val="005860E7"/>
    <w:rsid w:val="005872CC"/>
    <w:rsid w:val="00587953"/>
    <w:rsid w:val="00587B38"/>
    <w:rsid w:val="00587FAB"/>
    <w:rsid w:val="005909A0"/>
    <w:rsid w:val="00591615"/>
    <w:rsid w:val="0059275D"/>
    <w:rsid w:val="00592B5E"/>
    <w:rsid w:val="00593543"/>
    <w:rsid w:val="005939A2"/>
    <w:rsid w:val="005943E7"/>
    <w:rsid w:val="00594EC0"/>
    <w:rsid w:val="005950FB"/>
    <w:rsid w:val="005953F6"/>
    <w:rsid w:val="00595587"/>
    <w:rsid w:val="00595D13"/>
    <w:rsid w:val="00596DBD"/>
    <w:rsid w:val="005A026D"/>
    <w:rsid w:val="005A2264"/>
    <w:rsid w:val="005A23E6"/>
    <w:rsid w:val="005A3407"/>
    <w:rsid w:val="005A3713"/>
    <w:rsid w:val="005A3739"/>
    <w:rsid w:val="005A396D"/>
    <w:rsid w:val="005A3F63"/>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5F7A1B"/>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D63"/>
    <w:rsid w:val="00621F2F"/>
    <w:rsid w:val="00624577"/>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4EA9"/>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6EDC"/>
    <w:rsid w:val="006573A8"/>
    <w:rsid w:val="00657939"/>
    <w:rsid w:val="00657A8B"/>
    <w:rsid w:val="00657ED1"/>
    <w:rsid w:val="00660FCD"/>
    <w:rsid w:val="00662B84"/>
    <w:rsid w:val="00663261"/>
    <w:rsid w:val="00663AF3"/>
    <w:rsid w:val="00664B71"/>
    <w:rsid w:val="00664C7C"/>
    <w:rsid w:val="006650AB"/>
    <w:rsid w:val="006657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58DD"/>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163"/>
    <w:rsid w:val="006A5886"/>
    <w:rsid w:val="006A6199"/>
    <w:rsid w:val="006A6611"/>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0D33"/>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ACA"/>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1E47"/>
    <w:rsid w:val="00742028"/>
    <w:rsid w:val="00743C41"/>
    <w:rsid w:val="00743CBD"/>
    <w:rsid w:val="00744425"/>
    <w:rsid w:val="00744BC3"/>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77B4C"/>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3F36"/>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574B"/>
    <w:rsid w:val="007A6762"/>
    <w:rsid w:val="007A6CB6"/>
    <w:rsid w:val="007A732E"/>
    <w:rsid w:val="007A7696"/>
    <w:rsid w:val="007A7D21"/>
    <w:rsid w:val="007A7F8A"/>
    <w:rsid w:val="007B058C"/>
    <w:rsid w:val="007B096D"/>
    <w:rsid w:val="007B0F30"/>
    <w:rsid w:val="007B11C0"/>
    <w:rsid w:val="007B27EA"/>
    <w:rsid w:val="007B2A56"/>
    <w:rsid w:val="007B3040"/>
    <w:rsid w:val="007B412A"/>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4BA"/>
    <w:rsid w:val="007E56F4"/>
    <w:rsid w:val="007E61AE"/>
    <w:rsid w:val="007E6FF3"/>
    <w:rsid w:val="007F1CC9"/>
    <w:rsid w:val="007F225B"/>
    <w:rsid w:val="007F26DC"/>
    <w:rsid w:val="007F3E3D"/>
    <w:rsid w:val="007F4152"/>
    <w:rsid w:val="007F434A"/>
    <w:rsid w:val="007F4CE9"/>
    <w:rsid w:val="007F4E63"/>
    <w:rsid w:val="007F4EE8"/>
    <w:rsid w:val="007F578E"/>
    <w:rsid w:val="007F58A4"/>
    <w:rsid w:val="007F5F69"/>
    <w:rsid w:val="007F6569"/>
    <w:rsid w:val="007F659C"/>
    <w:rsid w:val="007F6969"/>
    <w:rsid w:val="007F6B69"/>
    <w:rsid w:val="007F783C"/>
    <w:rsid w:val="007F7878"/>
    <w:rsid w:val="00800222"/>
    <w:rsid w:val="0080199F"/>
    <w:rsid w:val="00802C93"/>
    <w:rsid w:val="00806A88"/>
    <w:rsid w:val="00807036"/>
    <w:rsid w:val="00807B33"/>
    <w:rsid w:val="008109D2"/>
    <w:rsid w:val="0081141D"/>
    <w:rsid w:val="00811497"/>
    <w:rsid w:val="008119B0"/>
    <w:rsid w:val="00811F23"/>
    <w:rsid w:val="008122BF"/>
    <w:rsid w:val="00812B6D"/>
    <w:rsid w:val="00812DBB"/>
    <w:rsid w:val="00812E5B"/>
    <w:rsid w:val="00813058"/>
    <w:rsid w:val="008136E7"/>
    <w:rsid w:val="008168EE"/>
    <w:rsid w:val="00816F76"/>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262A1"/>
    <w:rsid w:val="008305CC"/>
    <w:rsid w:val="0083088C"/>
    <w:rsid w:val="00830CAC"/>
    <w:rsid w:val="008329B0"/>
    <w:rsid w:val="0083382A"/>
    <w:rsid w:val="00833C87"/>
    <w:rsid w:val="0083435C"/>
    <w:rsid w:val="00834D2D"/>
    <w:rsid w:val="008350B0"/>
    <w:rsid w:val="00835546"/>
    <w:rsid w:val="00835AD6"/>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5F57"/>
    <w:rsid w:val="00866446"/>
    <w:rsid w:val="00866DF4"/>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0DB0"/>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69CC"/>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8AD"/>
    <w:rsid w:val="008D3B4E"/>
    <w:rsid w:val="008D3EED"/>
    <w:rsid w:val="008D4602"/>
    <w:rsid w:val="008D4615"/>
    <w:rsid w:val="008D47BF"/>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4A0"/>
    <w:rsid w:val="008F33CA"/>
    <w:rsid w:val="008F3F4C"/>
    <w:rsid w:val="008F4667"/>
    <w:rsid w:val="008F47AC"/>
    <w:rsid w:val="008F497F"/>
    <w:rsid w:val="008F56CE"/>
    <w:rsid w:val="008F59F8"/>
    <w:rsid w:val="008F5A28"/>
    <w:rsid w:val="008F5CE1"/>
    <w:rsid w:val="008F716C"/>
    <w:rsid w:val="00900093"/>
    <w:rsid w:val="009002F9"/>
    <w:rsid w:val="00900484"/>
    <w:rsid w:val="00900C81"/>
    <w:rsid w:val="00900F3B"/>
    <w:rsid w:val="00901264"/>
    <w:rsid w:val="009019B8"/>
    <w:rsid w:val="00901BD4"/>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A3F"/>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BEF"/>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58AB"/>
    <w:rsid w:val="009C66C7"/>
    <w:rsid w:val="009C7203"/>
    <w:rsid w:val="009C78E0"/>
    <w:rsid w:val="009D0044"/>
    <w:rsid w:val="009D02AB"/>
    <w:rsid w:val="009D13DB"/>
    <w:rsid w:val="009D1FB1"/>
    <w:rsid w:val="009D2895"/>
    <w:rsid w:val="009D2E96"/>
    <w:rsid w:val="009D2F34"/>
    <w:rsid w:val="009D35BA"/>
    <w:rsid w:val="009D3753"/>
    <w:rsid w:val="009D37F8"/>
    <w:rsid w:val="009D484D"/>
    <w:rsid w:val="009D5CD2"/>
    <w:rsid w:val="009D7140"/>
    <w:rsid w:val="009E0BD5"/>
    <w:rsid w:val="009E0E15"/>
    <w:rsid w:val="009E16F4"/>
    <w:rsid w:val="009E3AC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2CED"/>
    <w:rsid w:val="00A539BE"/>
    <w:rsid w:val="00A54226"/>
    <w:rsid w:val="00A56779"/>
    <w:rsid w:val="00A5698A"/>
    <w:rsid w:val="00A57442"/>
    <w:rsid w:val="00A57A9E"/>
    <w:rsid w:val="00A57F75"/>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6F"/>
    <w:rsid w:val="00A73EA0"/>
    <w:rsid w:val="00A7431C"/>
    <w:rsid w:val="00A753EF"/>
    <w:rsid w:val="00A753FF"/>
    <w:rsid w:val="00A76F5F"/>
    <w:rsid w:val="00A778CD"/>
    <w:rsid w:val="00A80F0C"/>
    <w:rsid w:val="00A81ABD"/>
    <w:rsid w:val="00A8202C"/>
    <w:rsid w:val="00A8218B"/>
    <w:rsid w:val="00A8278F"/>
    <w:rsid w:val="00A827B0"/>
    <w:rsid w:val="00A83F9A"/>
    <w:rsid w:val="00A844DA"/>
    <w:rsid w:val="00A84CB2"/>
    <w:rsid w:val="00A84D9D"/>
    <w:rsid w:val="00A8518C"/>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7C0"/>
    <w:rsid w:val="00AA0E30"/>
    <w:rsid w:val="00AA1A1F"/>
    <w:rsid w:val="00AA39AF"/>
    <w:rsid w:val="00AA3D1C"/>
    <w:rsid w:val="00AA42A2"/>
    <w:rsid w:val="00AA4D2E"/>
    <w:rsid w:val="00AA61F2"/>
    <w:rsid w:val="00AA6559"/>
    <w:rsid w:val="00AA6E4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532"/>
    <w:rsid w:val="00AD7C42"/>
    <w:rsid w:val="00AD7DF2"/>
    <w:rsid w:val="00AE03E5"/>
    <w:rsid w:val="00AE0447"/>
    <w:rsid w:val="00AE1155"/>
    <w:rsid w:val="00AE149C"/>
    <w:rsid w:val="00AE1BBC"/>
    <w:rsid w:val="00AE1D2F"/>
    <w:rsid w:val="00AE1E65"/>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0A6"/>
    <w:rsid w:val="00B2798F"/>
    <w:rsid w:val="00B302BD"/>
    <w:rsid w:val="00B3033A"/>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391"/>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038"/>
    <w:rsid w:val="00B6424B"/>
    <w:rsid w:val="00B64301"/>
    <w:rsid w:val="00B64537"/>
    <w:rsid w:val="00B649D1"/>
    <w:rsid w:val="00B656D9"/>
    <w:rsid w:val="00B65FA4"/>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DFB"/>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4E1"/>
    <w:rsid w:val="00BB6A77"/>
    <w:rsid w:val="00BB71B9"/>
    <w:rsid w:val="00BB77F1"/>
    <w:rsid w:val="00BB7BCD"/>
    <w:rsid w:val="00BC0684"/>
    <w:rsid w:val="00BC08A4"/>
    <w:rsid w:val="00BC13AE"/>
    <w:rsid w:val="00BC2376"/>
    <w:rsid w:val="00BC3A10"/>
    <w:rsid w:val="00BC51EB"/>
    <w:rsid w:val="00BC5692"/>
    <w:rsid w:val="00BC59FB"/>
    <w:rsid w:val="00BC5A35"/>
    <w:rsid w:val="00BC5E71"/>
    <w:rsid w:val="00BC6B6F"/>
    <w:rsid w:val="00BC6D6F"/>
    <w:rsid w:val="00BC7A3A"/>
    <w:rsid w:val="00BD0B6F"/>
    <w:rsid w:val="00BD0C3C"/>
    <w:rsid w:val="00BD0E7E"/>
    <w:rsid w:val="00BD27BA"/>
    <w:rsid w:val="00BD2ACF"/>
    <w:rsid w:val="00BD317F"/>
    <w:rsid w:val="00BD45CD"/>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3F4"/>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89B"/>
    <w:rsid w:val="00C82461"/>
    <w:rsid w:val="00C82AAC"/>
    <w:rsid w:val="00C82DC7"/>
    <w:rsid w:val="00C83154"/>
    <w:rsid w:val="00C83D3B"/>
    <w:rsid w:val="00C8465D"/>
    <w:rsid w:val="00C84872"/>
    <w:rsid w:val="00C85D47"/>
    <w:rsid w:val="00C85FA9"/>
    <w:rsid w:val="00C867D8"/>
    <w:rsid w:val="00C86E2C"/>
    <w:rsid w:val="00C8706A"/>
    <w:rsid w:val="00C8749B"/>
    <w:rsid w:val="00C90589"/>
    <w:rsid w:val="00C90739"/>
    <w:rsid w:val="00C90851"/>
    <w:rsid w:val="00C90D5D"/>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1FA"/>
    <w:rsid w:val="00CA67D9"/>
    <w:rsid w:val="00CA6811"/>
    <w:rsid w:val="00CA6B9C"/>
    <w:rsid w:val="00CA7065"/>
    <w:rsid w:val="00CA7D28"/>
    <w:rsid w:val="00CB03FC"/>
    <w:rsid w:val="00CB0E39"/>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6B4"/>
    <w:rsid w:val="00CC5770"/>
    <w:rsid w:val="00CC5A77"/>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0F1D"/>
    <w:rsid w:val="00CE10AF"/>
    <w:rsid w:val="00CE15F2"/>
    <w:rsid w:val="00CE3957"/>
    <w:rsid w:val="00CE3A40"/>
    <w:rsid w:val="00CE427A"/>
    <w:rsid w:val="00CE5E7B"/>
    <w:rsid w:val="00CE6349"/>
    <w:rsid w:val="00CE6401"/>
    <w:rsid w:val="00CE668C"/>
    <w:rsid w:val="00CE6DF7"/>
    <w:rsid w:val="00CE7849"/>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CF7AA1"/>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3B8E"/>
    <w:rsid w:val="00D1468E"/>
    <w:rsid w:val="00D14EFB"/>
    <w:rsid w:val="00D15315"/>
    <w:rsid w:val="00D15985"/>
    <w:rsid w:val="00D1636C"/>
    <w:rsid w:val="00D1757F"/>
    <w:rsid w:val="00D17D02"/>
    <w:rsid w:val="00D20270"/>
    <w:rsid w:val="00D20371"/>
    <w:rsid w:val="00D20F84"/>
    <w:rsid w:val="00D21C93"/>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219"/>
    <w:rsid w:val="00D376DC"/>
    <w:rsid w:val="00D37744"/>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1A57"/>
    <w:rsid w:val="00D5484B"/>
    <w:rsid w:val="00D55031"/>
    <w:rsid w:val="00D56654"/>
    <w:rsid w:val="00D56709"/>
    <w:rsid w:val="00D60133"/>
    <w:rsid w:val="00D60C5E"/>
    <w:rsid w:val="00D61D6C"/>
    <w:rsid w:val="00D62166"/>
    <w:rsid w:val="00D62DDB"/>
    <w:rsid w:val="00D630FA"/>
    <w:rsid w:val="00D631C3"/>
    <w:rsid w:val="00D63C0B"/>
    <w:rsid w:val="00D63E97"/>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5897"/>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4F6C"/>
    <w:rsid w:val="00DC5BCB"/>
    <w:rsid w:val="00DC6ADF"/>
    <w:rsid w:val="00DC74FE"/>
    <w:rsid w:val="00DC78B8"/>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0F5"/>
    <w:rsid w:val="00DE05E5"/>
    <w:rsid w:val="00DE0C86"/>
    <w:rsid w:val="00DE0C94"/>
    <w:rsid w:val="00DE17D1"/>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413"/>
    <w:rsid w:val="00E06921"/>
    <w:rsid w:val="00E06975"/>
    <w:rsid w:val="00E06A45"/>
    <w:rsid w:val="00E077E8"/>
    <w:rsid w:val="00E079A8"/>
    <w:rsid w:val="00E07A5F"/>
    <w:rsid w:val="00E100FB"/>
    <w:rsid w:val="00E103AE"/>
    <w:rsid w:val="00E11010"/>
    <w:rsid w:val="00E124CB"/>
    <w:rsid w:val="00E133F7"/>
    <w:rsid w:val="00E13780"/>
    <w:rsid w:val="00E13BED"/>
    <w:rsid w:val="00E1452B"/>
    <w:rsid w:val="00E153B3"/>
    <w:rsid w:val="00E15BC5"/>
    <w:rsid w:val="00E16340"/>
    <w:rsid w:val="00E1713C"/>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0748"/>
    <w:rsid w:val="00E5123C"/>
    <w:rsid w:val="00E51451"/>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490"/>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4986"/>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1DE8"/>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4AF6"/>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0E9"/>
    <w:rsid w:val="00EE45CB"/>
    <w:rsid w:val="00EE4D89"/>
    <w:rsid w:val="00EE5B77"/>
    <w:rsid w:val="00EE5F23"/>
    <w:rsid w:val="00EE6FAC"/>
    <w:rsid w:val="00EE79A1"/>
    <w:rsid w:val="00EF0157"/>
    <w:rsid w:val="00EF03DD"/>
    <w:rsid w:val="00EF0CB7"/>
    <w:rsid w:val="00EF123B"/>
    <w:rsid w:val="00EF1390"/>
    <w:rsid w:val="00EF14AC"/>
    <w:rsid w:val="00EF1C3B"/>
    <w:rsid w:val="00EF1F79"/>
    <w:rsid w:val="00EF2AEB"/>
    <w:rsid w:val="00EF341C"/>
    <w:rsid w:val="00EF3F50"/>
    <w:rsid w:val="00EF40A6"/>
    <w:rsid w:val="00EF4B3D"/>
    <w:rsid w:val="00EF4F89"/>
    <w:rsid w:val="00EF57ED"/>
    <w:rsid w:val="00EF6019"/>
    <w:rsid w:val="00EF6518"/>
    <w:rsid w:val="00EF6C86"/>
    <w:rsid w:val="00F000FE"/>
    <w:rsid w:val="00F00166"/>
    <w:rsid w:val="00F00B37"/>
    <w:rsid w:val="00F01670"/>
    <w:rsid w:val="00F01B90"/>
    <w:rsid w:val="00F01F27"/>
    <w:rsid w:val="00F02555"/>
    <w:rsid w:val="00F060D3"/>
    <w:rsid w:val="00F06780"/>
    <w:rsid w:val="00F06E45"/>
    <w:rsid w:val="00F07ACE"/>
    <w:rsid w:val="00F1019F"/>
    <w:rsid w:val="00F103EE"/>
    <w:rsid w:val="00F10FDF"/>
    <w:rsid w:val="00F125B3"/>
    <w:rsid w:val="00F131E1"/>
    <w:rsid w:val="00F1326C"/>
    <w:rsid w:val="00F14C24"/>
    <w:rsid w:val="00F153A9"/>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6CC7"/>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3F8D"/>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45E"/>
    <w:rsid w:val="00F83AEB"/>
    <w:rsid w:val="00F83E0A"/>
    <w:rsid w:val="00F84A9B"/>
    <w:rsid w:val="00F854D0"/>
    <w:rsid w:val="00F85574"/>
    <w:rsid w:val="00F8645D"/>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D15"/>
    <w:rsid w:val="00FB1EBE"/>
    <w:rsid w:val="00FB3011"/>
    <w:rsid w:val="00FB35AE"/>
    <w:rsid w:val="00FB3DCE"/>
    <w:rsid w:val="00FB4E3B"/>
    <w:rsid w:val="00FB50C9"/>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021"/>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0AA00D"/>
  <w15:docId w15:val="{C447EA85-72E5-4D0F-AA7A-97079A62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liska.krohova@crestcom.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26F918-6FDC-48AA-897E-2562459DD7DB}">
  <ds:schemaRefs>
    <ds:schemaRef ds:uri="http://schemas.openxmlformats.org/officeDocument/2006/bibliography"/>
  </ds:schemaRefs>
</ds:datastoreItem>
</file>

<file path=customXml/itemProps2.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4.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1250</Words>
  <Characters>7375</Characters>
  <Application>Microsoft Office Word</Application>
  <DocSecurity>0</DocSecurity>
  <Lines>61</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2</cp:revision>
  <cp:lastPrinted>2021-02-17T20:24:00Z</cp:lastPrinted>
  <dcterms:created xsi:type="dcterms:W3CDTF">2024-10-30T09:58:00Z</dcterms:created>
  <dcterms:modified xsi:type="dcterms:W3CDTF">2024-10-30T09:58:00Z</dcterms:modified>
</cp:coreProperties>
</file>